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C786C" w14:textId="77777777" w:rsidR="00462341" w:rsidRDefault="005F3A30" w:rsidP="00777CC5">
      <w:pPr>
        <w:rPr>
          <w:rFonts w:ascii="Arial Black" w:hAnsi="Arial Black"/>
          <w:b/>
          <w:color w:val="FF0000"/>
        </w:rPr>
      </w:pPr>
      <w:r>
        <w:rPr>
          <w:noProof/>
        </w:rPr>
        <w:drawing>
          <wp:inline distT="0" distB="0" distL="0" distR="0" wp14:anchorId="60E0144A" wp14:editId="09510C8F">
            <wp:extent cx="2009775" cy="495300"/>
            <wp:effectExtent l="0" t="0" r="9525" b="0"/>
            <wp:docPr id="1" name="Picture 1"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009775" cy="495300"/>
                    </a:xfrm>
                    <a:prstGeom prst="rect">
                      <a:avLst/>
                    </a:prstGeom>
                  </pic:spPr>
                </pic:pic>
              </a:graphicData>
            </a:graphic>
          </wp:inline>
        </w:drawing>
      </w:r>
    </w:p>
    <w:p w14:paraId="3FF4B993" w14:textId="77777777" w:rsidR="00777CC5" w:rsidRDefault="00777CC5" w:rsidP="0084204B">
      <w:pPr>
        <w:jc w:val="center"/>
        <w:rPr>
          <w:rFonts w:ascii="Arial Black" w:hAnsi="Arial Black"/>
          <w:b/>
          <w:color w:val="FF0000"/>
        </w:rPr>
      </w:pPr>
    </w:p>
    <w:tbl>
      <w:tblPr>
        <w:tblW w:w="3130" w:type="dxa"/>
        <w:tblInd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0"/>
      </w:tblGrid>
      <w:tr w:rsidR="00A71F05" w14:paraId="1DCD1D28" w14:textId="77777777">
        <w:trPr>
          <w:trHeight w:val="777"/>
        </w:trPr>
        <w:tc>
          <w:tcPr>
            <w:tcW w:w="3130" w:type="dxa"/>
          </w:tcPr>
          <w:p w14:paraId="1BC13E03" w14:textId="101065E3" w:rsidR="00A71F05" w:rsidRDefault="00A71F05" w:rsidP="00D4290D">
            <w:pPr>
              <w:pStyle w:val="Heading8"/>
              <w:rPr>
                <w:i w:val="0"/>
                <w:iCs w:val="0"/>
              </w:rPr>
            </w:pPr>
            <w:r w:rsidRPr="00CF184E">
              <w:rPr>
                <w:rFonts w:ascii="Arial Black" w:hAnsi="Arial Black"/>
                <w:i w:val="0"/>
                <w:iCs w:val="0"/>
              </w:rPr>
              <w:t>Ref</w:t>
            </w:r>
            <w:r w:rsidRPr="00CF184E">
              <w:rPr>
                <w:rFonts w:ascii="Arial Black" w:hAnsi="Arial Black"/>
              </w:rPr>
              <w:t xml:space="preserve"> </w:t>
            </w:r>
            <w:r w:rsidRPr="00CF184E">
              <w:rPr>
                <w:rFonts w:ascii="Arial Black" w:hAnsi="Arial Black"/>
                <w:i w:val="0"/>
                <w:iCs w:val="0"/>
              </w:rPr>
              <w:t>PHD</w:t>
            </w:r>
            <w:r>
              <w:rPr>
                <w:i w:val="0"/>
                <w:iCs w:val="0"/>
              </w:rPr>
              <w:t xml:space="preserve"> </w:t>
            </w:r>
            <w:r w:rsidR="00A8512C">
              <w:rPr>
                <w:rFonts w:ascii="Arial" w:hAnsi="Arial" w:cs="Arial"/>
                <w:i w:val="0"/>
                <w:iCs w:val="0"/>
              </w:rPr>
              <w:t>11-2023/24</w:t>
            </w:r>
          </w:p>
          <w:p w14:paraId="5F74C597" w14:textId="77777777" w:rsidR="00A71F05" w:rsidRDefault="00A71F05" w:rsidP="00D4290D">
            <w:pPr>
              <w:rPr>
                <w:i/>
              </w:rPr>
            </w:pPr>
          </w:p>
        </w:tc>
      </w:tr>
    </w:tbl>
    <w:p w14:paraId="60E43F34" w14:textId="77777777" w:rsidR="00A71F05" w:rsidRDefault="00A71F05" w:rsidP="00A71F05"/>
    <w:tbl>
      <w:tblPr>
        <w:tblW w:w="8575" w:type="dxa"/>
        <w:tblLayout w:type="fixed"/>
        <w:tblCellMar>
          <w:left w:w="115" w:type="dxa"/>
          <w:right w:w="115" w:type="dxa"/>
        </w:tblCellMar>
        <w:tblLook w:val="0000" w:firstRow="0" w:lastRow="0" w:firstColumn="0" w:lastColumn="0" w:noHBand="0" w:noVBand="0"/>
      </w:tblPr>
      <w:tblGrid>
        <w:gridCol w:w="3474"/>
        <w:gridCol w:w="5101"/>
      </w:tblGrid>
      <w:tr w:rsidR="00A71F05" w:rsidRPr="007D7E0B" w14:paraId="1FB6B0B2" w14:textId="77777777" w:rsidTr="009B4288">
        <w:tc>
          <w:tcPr>
            <w:tcW w:w="3474" w:type="dxa"/>
            <w:tcBorders>
              <w:bottom w:val="single" w:sz="18" w:space="0" w:color="auto"/>
            </w:tcBorders>
          </w:tcPr>
          <w:p w14:paraId="2F598628" w14:textId="77777777" w:rsidR="00A71F05" w:rsidRPr="003F7AEE" w:rsidRDefault="00A6606C" w:rsidP="00A6606C">
            <w:pPr>
              <w:pStyle w:val="Heading1"/>
            </w:pPr>
            <w:r>
              <w:t>Report f</w:t>
            </w:r>
            <w:r w:rsidRPr="003F7AEE">
              <w:t>or:</w:t>
            </w:r>
          </w:p>
          <w:p w14:paraId="187C8553" w14:textId="77777777" w:rsidR="00A71F05" w:rsidRPr="00E026EE" w:rsidRDefault="00A71F05" w:rsidP="00D4290D">
            <w:pPr>
              <w:rPr>
                <w:rFonts w:ascii="Arial Black" w:hAnsi="Arial Black" w:cs="Arial"/>
                <w:sz w:val="36"/>
                <w:szCs w:val="36"/>
              </w:rPr>
            </w:pPr>
          </w:p>
        </w:tc>
        <w:tc>
          <w:tcPr>
            <w:tcW w:w="5101" w:type="dxa"/>
            <w:tcBorders>
              <w:bottom w:val="single" w:sz="18" w:space="0" w:color="auto"/>
            </w:tcBorders>
          </w:tcPr>
          <w:p w14:paraId="7C137DFE" w14:textId="2E3B8BB9" w:rsidR="00A71F05" w:rsidRDefault="00A8512C" w:rsidP="00A6606C">
            <w:pPr>
              <w:pStyle w:val="Heading1"/>
            </w:pPr>
            <w:r>
              <w:t>Portfolio Holder Decision</w:t>
            </w:r>
          </w:p>
          <w:p w14:paraId="12D565FF" w14:textId="77777777" w:rsidR="001E347C" w:rsidRPr="00E026EE" w:rsidRDefault="001E347C" w:rsidP="00D4290D">
            <w:pPr>
              <w:rPr>
                <w:rFonts w:ascii="Arial Black" w:hAnsi="Arial Black" w:cs="Arial"/>
                <w:sz w:val="36"/>
                <w:szCs w:val="36"/>
              </w:rPr>
            </w:pPr>
          </w:p>
        </w:tc>
      </w:tr>
      <w:tr w:rsidR="00A71F05" w:rsidRPr="007D7E0B" w14:paraId="72EB63A3" w14:textId="77777777" w:rsidTr="009B4288">
        <w:tc>
          <w:tcPr>
            <w:tcW w:w="3474" w:type="dxa"/>
          </w:tcPr>
          <w:p w14:paraId="3EA553F6" w14:textId="77777777" w:rsidR="00A71F05" w:rsidRPr="007D7E0B" w:rsidRDefault="00A71F05" w:rsidP="00D4290D">
            <w:pPr>
              <w:pStyle w:val="Infotext"/>
              <w:rPr>
                <w:rFonts w:ascii="Arial Black" w:hAnsi="Arial Black" w:cs="Arial"/>
              </w:rPr>
            </w:pPr>
            <w:r w:rsidRPr="007D7E0B">
              <w:rPr>
                <w:rFonts w:ascii="Arial Black" w:hAnsi="Arial Black" w:cs="Arial"/>
              </w:rPr>
              <w:t>Subject:</w:t>
            </w:r>
          </w:p>
          <w:p w14:paraId="6792E027" w14:textId="77777777" w:rsidR="00A71F05" w:rsidRPr="007D7E0B" w:rsidRDefault="00A71F05" w:rsidP="00D4290D">
            <w:pPr>
              <w:pStyle w:val="Infotext"/>
              <w:rPr>
                <w:rFonts w:ascii="Arial Black" w:hAnsi="Arial Black"/>
              </w:rPr>
            </w:pPr>
          </w:p>
        </w:tc>
        <w:tc>
          <w:tcPr>
            <w:tcW w:w="5101" w:type="dxa"/>
          </w:tcPr>
          <w:p w14:paraId="08AE2591" w14:textId="6CC6AA60" w:rsidR="00A71F05" w:rsidRPr="00596DDC" w:rsidRDefault="008A1A35" w:rsidP="00A71F05">
            <w:pPr>
              <w:rPr>
                <w:rFonts w:ascii="Arial Black" w:hAnsi="Arial Black" w:cs="Arial"/>
                <w:szCs w:val="24"/>
              </w:rPr>
            </w:pPr>
            <w:r>
              <w:rPr>
                <w:rFonts w:ascii="Arial Black" w:hAnsi="Arial Black" w:cs="Arial"/>
                <w:szCs w:val="24"/>
              </w:rPr>
              <w:t>Funding for Education Health and Care Plans (EHCP) 2023-24</w:t>
            </w:r>
          </w:p>
          <w:p w14:paraId="4C18EA90" w14:textId="77777777" w:rsidR="00A71F05" w:rsidRPr="00596DDC" w:rsidRDefault="00A71F05" w:rsidP="00D03694">
            <w:pPr>
              <w:pStyle w:val="Infotext"/>
              <w:rPr>
                <w:rFonts w:cs="Arial"/>
                <w:sz w:val="24"/>
                <w:szCs w:val="24"/>
              </w:rPr>
            </w:pPr>
          </w:p>
        </w:tc>
      </w:tr>
      <w:tr w:rsidR="00A71F05" w14:paraId="11C817F1" w14:textId="77777777" w:rsidTr="009B4288">
        <w:tc>
          <w:tcPr>
            <w:tcW w:w="3474" w:type="dxa"/>
            <w:tcBorders>
              <w:top w:val="single" w:sz="18" w:space="0" w:color="auto"/>
            </w:tcBorders>
          </w:tcPr>
          <w:p w14:paraId="4B5A4F70" w14:textId="77777777" w:rsidR="00A71F05" w:rsidRPr="00CF184E" w:rsidRDefault="00A71F05" w:rsidP="00D4290D">
            <w:pPr>
              <w:rPr>
                <w:rFonts w:ascii="Arial Black" w:hAnsi="Arial Black" w:cs="Arial"/>
                <w:sz w:val="28"/>
              </w:rPr>
            </w:pPr>
            <w:r w:rsidRPr="00CF184E">
              <w:rPr>
                <w:rFonts w:ascii="Arial Black" w:hAnsi="Arial Black" w:cs="Arial"/>
                <w:sz w:val="28"/>
              </w:rPr>
              <w:t>Responsible Officer:</w:t>
            </w:r>
          </w:p>
          <w:p w14:paraId="62A652D4" w14:textId="77777777" w:rsidR="00A71F05" w:rsidRPr="00CF184E" w:rsidRDefault="00A71F05" w:rsidP="00D4290D">
            <w:pPr>
              <w:rPr>
                <w:rFonts w:ascii="Arial Black" w:hAnsi="Arial Black" w:cs="Arial"/>
                <w:sz w:val="28"/>
              </w:rPr>
            </w:pPr>
          </w:p>
        </w:tc>
        <w:tc>
          <w:tcPr>
            <w:tcW w:w="5101" w:type="dxa"/>
            <w:tcBorders>
              <w:top w:val="single" w:sz="18" w:space="0" w:color="auto"/>
            </w:tcBorders>
          </w:tcPr>
          <w:p w14:paraId="08647ACF" w14:textId="0E94120B" w:rsidR="00A71F05" w:rsidRPr="00596DDC" w:rsidRDefault="005B13FD" w:rsidP="00D4290D">
            <w:pPr>
              <w:pStyle w:val="Infotext"/>
              <w:rPr>
                <w:rFonts w:cs="Arial"/>
                <w:sz w:val="24"/>
                <w:szCs w:val="24"/>
              </w:rPr>
            </w:pPr>
            <w:r>
              <w:rPr>
                <w:rFonts w:cs="Arial"/>
                <w:sz w:val="24"/>
                <w:szCs w:val="24"/>
              </w:rPr>
              <w:t>Peter Tolley</w:t>
            </w:r>
            <w:r w:rsidR="00A8512C">
              <w:rPr>
                <w:rFonts w:cs="Arial"/>
                <w:sz w:val="24"/>
                <w:szCs w:val="24"/>
              </w:rPr>
              <w:t xml:space="preserve"> - </w:t>
            </w:r>
            <w:r>
              <w:rPr>
                <w:rFonts w:cs="Arial"/>
                <w:sz w:val="24"/>
                <w:szCs w:val="24"/>
              </w:rPr>
              <w:t>Director of Children’s Services</w:t>
            </w:r>
          </w:p>
        </w:tc>
      </w:tr>
      <w:tr w:rsidR="00A71F05" w14:paraId="78AF259A" w14:textId="77777777" w:rsidTr="009B4288">
        <w:tc>
          <w:tcPr>
            <w:tcW w:w="3474" w:type="dxa"/>
          </w:tcPr>
          <w:p w14:paraId="444B29A1" w14:textId="77777777" w:rsidR="00A71F05" w:rsidRPr="00CF184E" w:rsidRDefault="00A71F05" w:rsidP="00D4290D">
            <w:pPr>
              <w:rPr>
                <w:rFonts w:ascii="Arial Black" w:hAnsi="Arial Black" w:cs="Arial"/>
                <w:sz w:val="28"/>
              </w:rPr>
            </w:pPr>
            <w:r w:rsidRPr="00CF184E">
              <w:rPr>
                <w:rFonts w:ascii="Arial Black" w:hAnsi="Arial Black" w:cs="Arial"/>
                <w:sz w:val="28"/>
              </w:rPr>
              <w:t>Portfolio Holder:</w:t>
            </w:r>
          </w:p>
          <w:p w14:paraId="1288DE5B" w14:textId="77777777" w:rsidR="00A71F05" w:rsidRPr="00CF184E" w:rsidRDefault="00A71F05" w:rsidP="00D4290D">
            <w:pPr>
              <w:rPr>
                <w:rFonts w:ascii="Arial Black" w:hAnsi="Arial Black" w:cs="Arial"/>
                <w:sz w:val="28"/>
              </w:rPr>
            </w:pPr>
          </w:p>
        </w:tc>
        <w:tc>
          <w:tcPr>
            <w:tcW w:w="5101" w:type="dxa"/>
          </w:tcPr>
          <w:p w14:paraId="1A458940" w14:textId="497D5E81" w:rsidR="00A71F05" w:rsidRPr="00596DDC" w:rsidRDefault="00A8512C" w:rsidP="00D4290D">
            <w:pPr>
              <w:rPr>
                <w:rFonts w:cs="Arial"/>
                <w:szCs w:val="24"/>
              </w:rPr>
            </w:pPr>
            <w:r>
              <w:rPr>
                <w:rFonts w:cs="Arial"/>
                <w:szCs w:val="24"/>
              </w:rPr>
              <w:t>Leader of the Council</w:t>
            </w:r>
          </w:p>
        </w:tc>
      </w:tr>
      <w:tr w:rsidR="00A71F05" w:rsidRPr="007D7E0B" w14:paraId="77D44757" w14:textId="77777777" w:rsidTr="009B4288">
        <w:tc>
          <w:tcPr>
            <w:tcW w:w="3474" w:type="dxa"/>
          </w:tcPr>
          <w:p w14:paraId="72427E7A" w14:textId="77777777" w:rsidR="00A71F05" w:rsidRPr="007D7E0B" w:rsidRDefault="00A71F05" w:rsidP="00D4290D">
            <w:pPr>
              <w:pStyle w:val="Infotext"/>
              <w:rPr>
                <w:rFonts w:ascii="Arial Black" w:hAnsi="Arial Black" w:cs="Arial"/>
              </w:rPr>
            </w:pPr>
            <w:r w:rsidRPr="007D7E0B">
              <w:rPr>
                <w:rFonts w:ascii="Arial Black" w:hAnsi="Arial Black" w:cs="Arial"/>
              </w:rPr>
              <w:t>Key Decision:</w:t>
            </w:r>
          </w:p>
        </w:tc>
        <w:tc>
          <w:tcPr>
            <w:tcW w:w="5101" w:type="dxa"/>
          </w:tcPr>
          <w:p w14:paraId="46D95706" w14:textId="32166AFE" w:rsidR="00A71F05" w:rsidRPr="005B13FD" w:rsidRDefault="00A71F05" w:rsidP="00D4290D">
            <w:pPr>
              <w:pStyle w:val="Infotext"/>
              <w:rPr>
                <w:rFonts w:cs="Arial"/>
                <w:sz w:val="24"/>
                <w:szCs w:val="24"/>
              </w:rPr>
            </w:pPr>
            <w:r w:rsidRPr="00596DDC">
              <w:rPr>
                <w:rFonts w:cs="Arial"/>
                <w:sz w:val="24"/>
                <w:szCs w:val="24"/>
              </w:rPr>
              <w:t>Yes</w:t>
            </w:r>
            <w:r w:rsidR="00A8512C">
              <w:rPr>
                <w:rFonts w:cs="Arial"/>
                <w:sz w:val="24"/>
                <w:szCs w:val="24"/>
              </w:rPr>
              <w:t xml:space="preserve"> - e</w:t>
            </w:r>
            <w:r w:rsidR="005B13FD" w:rsidRPr="005B13FD">
              <w:rPr>
                <w:rFonts w:cs="Arial"/>
                <w:sz w:val="24"/>
                <w:szCs w:val="24"/>
              </w:rPr>
              <w:t>xpenditure in excess of £500k.</w:t>
            </w:r>
          </w:p>
          <w:p w14:paraId="1AEC570D" w14:textId="77777777" w:rsidR="00A71F05" w:rsidRPr="00596DDC" w:rsidRDefault="00A71F05" w:rsidP="00D4290D">
            <w:pPr>
              <w:pStyle w:val="Infotext"/>
              <w:rPr>
                <w:rFonts w:cs="Arial"/>
                <w:sz w:val="24"/>
                <w:szCs w:val="24"/>
              </w:rPr>
            </w:pPr>
          </w:p>
        </w:tc>
      </w:tr>
      <w:tr w:rsidR="00A71F05" w14:paraId="2129338D" w14:textId="77777777" w:rsidTr="009B4288">
        <w:tc>
          <w:tcPr>
            <w:tcW w:w="3474" w:type="dxa"/>
          </w:tcPr>
          <w:p w14:paraId="25C1C899" w14:textId="77777777" w:rsidR="00A71F05" w:rsidRPr="00CF184E" w:rsidRDefault="00A71F05" w:rsidP="00D4290D">
            <w:pPr>
              <w:rPr>
                <w:rFonts w:ascii="Arial Black" w:hAnsi="Arial Black" w:cs="Arial"/>
                <w:sz w:val="28"/>
              </w:rPr>
            </w:pPr>
            <w:r w:rsidRPr="00CF184E">
              <w:rPr>
                <w:rFonts w:ascii="Arial Black" w:hAnsi="Arial Black" w:cs="Arial"/>
                <w:sz w:val="28"/>
              </w:rPr>
              <w:t>Power to be exercised:</w:t>
            </w:r>
          </w:p>
          <w:p w14:paraId="16394FF4" w14:textId="77777777" w:rsidR="00A71F05" w:rsidRPr="00CF184E" w:rsidRDefault="00A71F05" w:rsidP="00D4290D">
            <w:pPr>
              <w:rPr>
                <w:rFonts w:ascii="Arial Black" w:hAnsi="Arial Black" w:cs="Arial"/>
                <w:sz w:val="28"/>
              </w:rPr>
            </w:pPr>
          </w:p>
        </w:tc>
        <w:tc>
          <w:tcPr>
            <w:tcW w:w="5101" w:type="dxa"/>
          </w:tcPr>
          <w:p w14:paraId="023E0A99" w14:textId="7687FF06" w:rsidR="00A8512C" w:rsidRPr="00596DDC" w:rsidRDefault="00A50116" w:rsidP="00A8512C">
            <w:pPr>
              <w:rPr>
                <w:rFonts w:cs="Arial"/>
                <w:szCs w:val="24"/>
              </w:rPr>
            </w:pPr>
            <w:r>
              <w:rPr>
                <w:rFonts w:cs="Arial"/>
                <w:szCs w:val="24"/>
              </w:rPr>
              <w:t>Paragraph 3 of the</w:t>
            </w:r>
            <w:r w:rsidR="00EC1288">
              <w:rPr>
                <w:rFonts w:cs="Arial"/>
                <w:szCs w:val="24"/>
              </w:rPr>
              <w:t xml:space="preserve"> </w:t>
            </w:r>
            <w:r w:rsidR="00A71F05" w:rsidRPr="00596DDC">
              <w:rPr>
                <w:rFonts w:cs="Arial"/>
                <w:szCs w:val="24"/>
              </w:rPr>
              <w:t>Appendix to Executive Procedure Rules</w:t>
            </w:r>
          </w:p>
        </w:tc>
      </w:tr>
      <w:tr w:rsidR="00A71F05" w14:paraId="273CAB06" w14:textId="77777777" w:rsidTr="009B4288">
        <w:tc>
          <w:tcPr>
            <w:tcW w:w="3474" w:type="dxa"/>
          </w:tcPr>
          <w:p w14:paraId="44AB62E5" w14:textId="77777777" w:rsidR="00A71F05" w:rsidRPr="00CF184E" w:rsidRDefault="00A71F05" w:rsidP="00D4290D">
            <w:pPr>
              <w:pStyle w:val="Infotext"/>
              <w:rPr>
                <w:rFonts w:ascii="Arial Black" w:hAnsi="Arial Black" w:cs="Arial"/>
              </w:rPr>
            </w:pPr>
            <w:r w:rsidRPr="00CF184E">
              <w:rPr>
                <w:rFonts w:ascii="Arial Black" w:hAnsi="Arial Black" w:cs="Arial"/>
              </w:rPr>
              <w:t>Exempt:</w:t>
            </w:r>
          </w:p>
          <w:p w14:paraId="7DFDBE49" w14:textId="77777777" w:rsidR="00A71F05" w:rsidRPr="00CF184E" w:rsidRDefault="00A71F05" w:rsidP="00D4290D">
            <w:pPr>
              <w:pStyle w:val="Infotext"/>
              <w:rPr>
                <w:rFonts w:ascii="Arial Black" w:hAnsi="Arial Black" w:cs="Arial"/>
              </w:rPr>
            </w:pPr>
          </w:p>
        </w:tc>
        <w:tc>
          <w:tcPr>
            <w:tcW w:w="5101" w:type="dxa"/>
          </w:tcPr>
          <w:p w14:paraId="0A79E139" w14:textId="798B25EA" w:rsidR="00A71F05" w:rsidRPr="00596DDC" w:rsidRDefault="00A71F05" w:rsidP="00D4290D">
            <w:pPr>
              <w:pStyle w:val="Infotext"/>
              <w:rPr>
                <w:rFonts w:cs="Arial"/>
                <w:sz w:val="24"/>
                <w:szCs w:val="24"/>
              </w:rPr>
            </w:pPr>
            <w:r w:rsidRPr="00596DDC">
              <w:rPr>
                <w:rFonts w:cs="Arial"/>
                <w:sz w:val="24"/>
                <w:szCs w:val="24"/>
              </w:rPr>
              <w:t>No</w:t>
            </w:r>
          </w:p>
          <w:p w14:paraId="2AD42282" w14:textId="77777777" w:rsidR="00A71F05" w:rsidRPr="00596DDC" w:rsidRDefault="00A71F05" w:rsidP="005B13FD">
            <w:pPr>
              <w:pStyle w:val="Infotext"/>
              <w:rPr>
                <w:rFonts w:cs="Arial"/>
                <w:sz w:val="24"/>
                <w:szCs w:val="24"/>
              </w:rPr>
            </w:pPr>
          </w:p>
        </w:tc>
      </w:tr>
      <w:tr w:rsidR="0084204B" w14:paraId="0863F26D" w14:textId="77777777" w:rsidTr="009B4288">
        <w:tc>
          <w:tcPr>
            <w:tcW w:w="3474" w:type="dxa"/>
          </w:tcPr>
          <w:p w14:paraId="5D79C355" w14:textId="36C99832" w:rsidR="0084204B" w:rsidRPr="00CF184E" w:rsidRDefault="0084204B" w:rsidP="00CD7F86">
            <w:pPr>
              <w:spacing w:line="280" w:lineRule="exact"/>
              <w:rPr>
                <w:rFonts w:ascii="Arial Black" w:hAnsi="Arial Black" w:cs="Arial"/>
                <w:sz w:val="28"/>
              </w:rPr>
            </w:pPr>
            <w:r w:rsidRPr="00CF184E">
              <w:rPr>
                <w:rFonts w:ascii="Arial Black" w:hAnsi="Arial Black" w:cs="Arial"/>
                <w:sz w:val="28"/>
              </w:rPr>
              <w:t>Urgent:</w:t>
            </w:r>
          </w:p>
          <w:p w14:paraId="23477447" w14:textId="77777777" w:rsidR="0084204B" w:rsidRPr="00CF184E" w:rsidRDefault="0084204B" w:rsidP="00CD7F86">
            <w:pPr>
              <w:spacing w:line="280" w:lineRule="exact"/>
              <w:rPr>
                <w:rFonts w:ascii="Arial Black" w:hAnsi="Arial Black" w:cs="Arial"/>
                <w:sz w:val="28"/>
              </w:rPr>
            </w:pPr>
          </w:p>
        </w:tc>
        <w:tc>
          <w:tcPr>
            <w:tcW w:w="5101" w:type="dxa"/>
          </w:tcPr>
          <w:p w14:paraId="0744823E" w14:textId="2638F88A" w:rsidR="0084204B" w:rsidRPr="00596DDC" w:rsidRDefault="0084204B" w:rsidP="00CD7F86">
            <w:pPr>
              <w:rPr>
                <w:rFonts w:cs="Arial"/>
                <w:szCs w:val="24"/>
              </w:rPr>
            </w:pPr>
            <w:r w:rsidRPr="00596DDC">
              <w:rPr>
                <w:rFonts w:cs="Arial"/>
                <w:szCs w:val="24"/>
              </w:rPr>
              <w:t>Yes</w:t>
            </w:r>
          </w:p>
          <w:p w14:paraId="0369AECF" w14:textId="77777777" w:rsidR="0084204B" w:rsidRPr="00596DDC" w:rsidRDefault="0084204B" w:rsidP="00A8512C">
            <w:pPr>
              <w:rPr>
                <w:rFonts w:cs="Arial"/>
                <w:szCs w:val="24"/>
              </w:rPr>
            </w:pPr>
          </w:p>
        </w:tc>
      </w:tr>
      <w:tr w:rsidR="00D3348C" w14:paraId="3DFC7261" w14:textId="77777777" w:rsidTr="009B4288">
        <w:tc>
          <w:tcPr>
            <w:tcW w:w="3474" w:type="dxa"/>
          </w:tcPr>
          <w:p w14:paraId="7D57EE0D" w14:textId="77777777" w:rsidR="00D3348C" w:rsidRDefault="00D3348C" w:rsidP="00D4290D">
            <w:pPr>
              <w:pStyle w:val="Infotext"/>
              <w:rPr>
                <w:rFonts w:ascii="Arial Black" w:hAnsi="Arial Black" w:cs="Arial"/>
              </w:rPr>
            </w:pPr>
            <w:r>
              <w:rPr>
                <w:rFonts w:ascii="Arial Black" w:hAnsi="Arial Black" w:cs="Arial"/>
              </w:rPr>
              <w:t>Wards affected:</w:t>
            </w:r>
          </w:p>
          <w:p w14:paraId="31545A3E" w14:textId="77777777" w:rsidR="00D3348C" w:rsidRPr="00CF184E" w:rsidRDefault="00D3348C" w:rsidP="00D4290D">
            <w:pPr>
              <w:pStyle w:val="Infotext"/>
              <w:rPr>
                <w:rFonts w:ascii="Arial Black" w:hAnsi="Arial Black" w:cs="Arial"/>
              </w:rPr>
            </w:pPr>
          </w:p>
        </w:tc>
        <w:tc>
          <w:tcPr>
            <w:tcW w:w="5101" w:type="dxa"/>
          </w:tcPr>
          <w:p w14:paraId="5E7EB541" w14:textId="608D0FB3" w:rsidR="00D3348C" w:rsidRPr="00596DDC" w:rsidRDefault="008A1A35" w:rsidP="00A1507D">
            <w:pPr>
              <w:rPr>
                <w:rFonts w:cs="Arial"/>
                <w:szCs w:val="24"/>
              </w:rPr>
            </w:pPr>
            <w:r>
              <w:rPr>
                <w:rFonts w:cs="Arial"/>
                <w:szCs w:val="24"/>
              </w:rPr>
              <w:t xml:space="preserve">All Wards </w:t>
            </w:r>
          </w:p>
        </w:tc>
      </w:tr>
      <w:tr w:rsidR="00A71F05" w14:paraId="7DFD7618" w14:textId="77777777" w:rsidTr="009B4288">
        <w:tc>
          <w:tcPr>
            <w:tcW w:w="3474" w:type="dxa"/>
          </w:tcPr>
          <w:p w14:paraId="18BCBF12" w14:textId="77777777" w:rsidR="00A71F05" w:rsidRPr="00CF184E" w:rsidRDefault="00A71F05" w:rsidP="00D4290D">
            <w:pPr>
              <w:pStyle w:val="Infotext"/>
              <w:rPr>
                <w:rFonts w:ascii="Arial Black" w:hAnsi="Arial Black" w:cs="Arial"/>
              </w:rPr>
            </w:pPr>
            <w:r w:rsidRPr="00CF184E">
              <w:rPr>
                <w:rFonts w:ascii="Arial Black" w:hAnsi="Arial Black" w:cs="Arial"/>
              </w:rPr>
              <w:t>Enclosures:</w:t>
            </w:r>
          </w:p>
          <w:p w14:paraId="1BFAC220" w14:textId="77777777" w:rsidR="00A71F05" w:rsidRPr="00CF184E" w:rsidRDefault="00A71F05" w:rsidP="00D4290D">
            <w:pPr>
              <w:pStyle w:val="Infotext"/>
              <w:rPr>
                <w:rFonts w:ascii="Arial Black" w:hAnsi="Arial Black" w:cs="Arial"/>
              </w:rPr>
            </w:pPr>
          </w:p>
        </w:tc>
        <w:tc>
          <w:tcPr>
            <w:tcW w:w="5101" w:type="dxa"/>
          </w:tcPr>
          <w:p w14:paraId="60D24712" w14:textId="2FEC0D6B" w:rsidR="00A71F05" w:rsidRPr="00596DDC" w:rsidRDefault="008A1A35" w:rsidP="00D4290D">
            <w:pPr>
              <w:rPr>
                <w:rFonts w:cs="Arial"/>
                <w:szCs w:val="24"/>
              </w:rPr>
            </w:pPr>
            <w:r>
              <w:rPr>
                <w:rFonts w:cs="Arial"/>
                <w:szCs w:val="24"/>
              </w:rPr>
              <w:t xml:space="preserve">None </w:t>
            </w:r>
          </w:p>
        </w:tc>
      </w:tr>
    </w:tbl>
    <w:p w14:paraId="7FA880E2" w14:textId="77777777" w:rsidR="00B9613C" w:rsidRDefault="00B9613C" w:rsidP="00A71F05">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9"/>
      </w:tblGrid>
      <w:tr w:rsidR="00A71F05" w14:paraId="118F2BB5" w14:textId="77777777">
        <w:tc>
          <w:tcPr>
            <w:tcW w:w="8525" w:type="dxa"/>
            <w:tcBorders>
              <w:top w:val="nil"/>
              <w:left w:val="nil"/>
              <w:right w:val="nil"/>
            </w:tcBorders>
          </w:tcPr>
          <w:p w14:paraId="008E9257" w14:textId="77777777" w:rsidR="00A8512C" w:rsidRDefault="00A8512C" w:rsidP="00A6606C">
            <w:pPr>
              <w:pStyle w:val="Heading2"/>
            </w:pPr>
          </w:p>
          <w:p w14:paraId="664635E2" w14:textId="77777777" w:rsidR="00A8512C" w:rsidRDefault="00A8512C" w:rsidP="00A6606C">
            <w:pPr>
              <w:pStyle w:val="Heading2"/>
            </w:pPr>
          </w:p>
          <w:p w14:paraId="7E655C34" w14:textId="7890CE45" w:rsidR="00A71F05" w:rsidRDefault="00A71F05" w:rsidP="00A6606C">
            <w:pPr>
              <w:pStyle w:val="Heading2"/>
            </w:pPr>
            <w:r>
              <w:lastRenderedPageBreak/>
              <w:t>Section 1 – Summary and Recommendations</w:t>
            </w:r>
          </w:p>
        </w:tc>
      </w:tr>
      <w:tr w:rsidR="00A71F05" w14:paraId="3978BD8A" w14:textId="77777777">
        <w:tc>
          <w:tcPr>
            <w:tcW w:w="8525" w:type="dxa"/>
          </w:tcPr>
          <w:p w14:paraId="3C8C7920" w14:textId="77777777" w:rsidR="00A71F05" w:rsidRDefault="00A71F05" w:rsidP="00D4290D"/>
          <w:p w14:paraId="740F8734" w14:textId="2729B8C2" w:rsidR="00A71F05" w:rsidRPr="00EC1288" w:rsidRDefault="00A71F05" w:rsidP="00A6606C">
            <w:pPr>
              <w:spacing w:after="240"/>
            </w:pPr>
            <w:r w:rsidRPr="009A2084">
              <w:t>This report sets out</w:t>
            </w:r>
            <w:r w:rsidR="009A2084">
              <w:rPr>
                <w:b/>
                <w:sz w:val="28"/>
                <w:szCs w:val="28"/>
              </w:rPr>
              <w:t xml:space="preserve"> </w:t>
            </w:r>
            <w:r w:rsidR="009A2084" w:rsidRPr="009A2084">
              <w:rPr>
                <w:bCs/>
                <w:szCs w:val="24"/>
              </w:rPr>
              <w:t>proposals to increase funding for Education Health and Care Plans (EHCP) for children and young people with special educational needs</w:t>
            </w:r>
            <w:r w:rsidR="009A2084">
              <w:rPr>
                <w:bCs/>
                <w:szCs w:val="24"/>
              </w:rPr>
              <w:t xml:space="preserve"> for the financial year 2023-24.</w:t>
            </w:r>
          </w:p>
          <w:p w14:paraId="12C2DA24" w14:textId="4286E11A" w:rsidR="00A71F05" w:rsidRPr="00A6606C" w:rsidRDefault="00A71F05" w:rsidP="00A6606C">
            <w:pPr>
              <w:rPr>
                <w:b/>
                <w:sz w:val="28"/>
                <w:szCs w:val="28"/>
              </w:rPr>
            </w:pPr>
            <w:r w:rsidRPr="00A6606C">
              <w:rPr>
                <w:b/>
                <w:sz w:val="28"/>
                <w:szCs w:val="28"/>
              </w:rPr>
              <w:t>Reco</w:t>
            </w:r>
            <w:r w:rsidR="009A2084" w:rsidRPr="00A6606C">
              <w:rPr>
                <w:b/>
                <w:sz w:val="28"/>
                <w:szCs w:val="28"/>
              </w:rPr>
              <w:t>mmendations</w:t>
            </w:r>
            <w:r w:rsidRPr="00A6606C">
              <w:rPr>
                <w:b/>
                <w:sz w:val="28"/>
                <w:szCs w:val="28"/>
              </w:rPr>
              <w:t xml:space="preserve">: </w:t>
            </w:r>
          </w:p>
          <w:p w14:paraId="7E35999B" w14:textId="7DD76F9F" w:rsidR="009A2084" w:rsidRDefault="0049672B" w:rsidP="00A8512C">
            <w:r>
              <w:t xml:space="preserve">The Leader of the Council is </w:t>
            </w:r>
            <w:r w:rsidR="00A71F05">
              <w:t>requested to</w:t>
            </w:r>
            <w:r w:rsidR="00A8512C">
              <w:t xml:space="preserve"> a</w:t>
            </w:r>
            <w:r w:rsidR="009A2084">
              <w:t>gree the increase funding for 2023-24 for Education Health and Care Plans by 10%.</w:t>
            </w:r>
          </w:p>
          <w:p w14:paraId="5D4F5315" w14:textId="77777777" w:rsidR="009A2084" w:rsidRDefault="009A2084" w:rsidP="00D4290D"/>
          <w:p w14:paraId="21657EE9" w14:textId="1DB2B883" w:rsidR="00A71F05" w:rsidRPr="00231AED" w:rsidRDefault="00A71F05" w:rsidP="00A6606C">
            <w:pPr>
              <w:spacing w:before="240"/>
            </w:pPr>
            <w:r w:rsidRPr="00A6606C">
              <w:rPr>
                <w:b/>
                <w:sz w:val="28"/>
              </w:rPr>
              <w:t>Reason</w:t>
            </w:r>
            <w:r w:rsidR="00A8512C">
              <w:rPr>
                <w:b/>
                <w:sz w:val="28"/>
              </w:rPr>
              <w:t xml:space="preserve"> (for recommendations)</w:t>
            </w:r>
            <w:r w:rsidRPr="00A6606C">
              <w:rPr>
                <w:b/>
                <w:sz w:val="28"/>
              </w:rPr>
              <w:t>:</w:t>
            </w:r>
            <w:r>
              <w:t xml:space="preserve">  </w:t>
            </w:r>
            <w:r w:rsidR="009A2084">
              <w:t xml:space="preserve">To increase the funding to mainstream schools to provide support to pupils with an Education Health and Care Plan. </w:t>
            </w:r>
          </w:p>
          <w:p w14:paraId="4DC27E6B" w14:textId="77777777" w:rsidR="00A71F05" w:rsidRDefault="00A71F05" w:rsidP="00D4290D">
            <w:pPr>
              <w:jc w:val="both"/>
              <w:rPr>
                <w:rFonts w:cs="Arial"/>
              </w:rPr>
            </w:pPr>
          </w:p>
        </w:tc>
      </w:tr>
    </w:tbl>
    <w:p w14:paraId="680C3BD6" w14:textId="77777777" w:rsidR="00A71F05" w:rsidRDefault="00A71F05" w:rsidP="00A8512C">
      <w:pPr>
        <w:pStyle w:val="Heading1"/>
        <w:spacing w:before="0"/>
        <w:jc w:val="center"/>
        <w:rPr>
          <w:color w:val="0000FF"/>
          <w:sz w:val="28"/>
        </w:rPr>
        <w:sectPr w:rsidR="00A71F05" w:rsidSect="00777CC5">
          <w:footerReference w:type="default" r:id="rId12"/>
          <w:type w:val="continuous"/>
          <w:pgSz w:w="11909" w:h="16834" w:code="9"/>
          <w:pgMar w:top="864" w:right="1800" w:bottom="1440" w:left="1800" w:header="1008" w:footer="432" w:gutter="0"/>
          <w:cols w:space="720"/>
          <w:titlePg/>
          <w:docGrid w:linePitch="360"/>
        </w:sectPr>
      </w:pPr>
    </w:p>
    <w:p w14:paraId="4C2125DD" w14:textId="6C5D4D22" w:rsidR="00A71F05" w:rsidRDefault="00A71F05" w:rsidP="00A8512C">
      <w:pPr>
        <w:pStyle w:val="Heading2"/>
        <w:spacing w:before="0"/>
      </w:pPr>
      <w:r>
        <w:t>Section 2 – Report</w:t>
      </w:r>
    </w:p>
    <w:p w14:paraId="2EB6757D" w14:textId="77777777" w:rsidR="00A71F05" w:rsidRPr="00A6606C" w:rsidRDefault="00A71F05" w:rsidP="00192F10">
      <w:pPr>
        <w:pStyle w:val="Heading3"/>
      </w:pPr>
      <w:r w:rsidRPr="00A6606C">
        <w:t>Introductory paragraph</w:t>
      </w:r>
    </w:p>
    <w:p w14:paraId="4F2AFF5A" w14:textId="375521F3" w:rsidR="009A2084" w:rsidRPr="009A2084" w:rsidRDefault="009A2084">
      <w:pPr>
        <w:pStyle w:val="ListParagraph"/>
        <w:numPr>
          <w:ilvl w:val="0"/>
          <w:numId w:val="1"/>
        </w:numPr>
        <w:suppressAutoHyphens/>
        <w:ind w:left="567" w:hanging="567"/>
        <w:rPr>
          <w:rFonts w:cs="Arial"/>
          <w:szCs w:val="24"/>
        </w:rPr>
      </w:pPr>
      <w:r w:rsidRPr="009A2084">
        <w:rPr>
          <w:rFonts w:cs="Arial"/>
          <w:szCs w:val="24"/>
        </w:rPr>
        <w:t xml:space="preserve">The Dedicated Schools Grant (DSG) is a ring-fenced grant of which the majority is used to fund individual school budgets in maintained schools, academies, and free schools in Harrow. It also funds Early Years nursery free entitlement places for 2-, 3- and 4-year-olds in maintained council nursery classes and private, voluntary, and independent (PVI) nurseries as well as provision for pupils with High Needs. The High Needs Block includes funding for Special Schools, Education Health and Care Plans (EHCP) for pupils with SEND in mainstream schools, and funding for Additionally Resources Mainstream Schools. </w:t>
      </w:r>
    </w:p>
    <w:p w14:paraId="3F930885" w14:textId="77777777" w:rsidR="009A2084" w:rsidRPr="009A2084" w:rsidRDefault="009A2084" w:rsidP="009A2084">
      <w:pPr>
        <w:pStyle w:val="ListParagraph"/>
        <w:suppressAutoHyphens/>
        <w:ind w:left="567" w:hanging="567"/>
        <w:jc w:val="both"/>
        <w:rPr>
          <w:rFonts w:cs="Arial"/>
          <w:szCs w:val="24"/>
        </w:rPr>
      </w:pPr>
    </w:p>
    <w:p w14:paraId="72083EEA" w14:textId="4B34A584" w:rsidR="009A2084" w:rsidRPr="009A2084" w:rsidRDefault="009A2084">
      <w:pPr>
        <w:pStyle w:val="ListParagraph"/>
        <w:numPr>
          <w:ilvl w:val="0"/>
          <w:numId w:val="1"/>
        </w:numPr>
        <w:ind w:left="567" w:hanging="567"/>
        <w:rPr>
          <w:szCs w:val="24"/>
        </w:rPr>
      </w:pPr>
      <w:r w:rsidRPr="009A2084">
        <w:rPr>
          <w:szCs w:val="24"/>
        </w:rPr>
        <w:t>In February 2023, Cabinet approved funding increases for in borough SEND provision as follows:</w:t>
      </w:r>
    </w:p>
    <w:p w14:paraId="3DBE97E3" w14:textId="77777777" w:rsidR="009A2084" w:rsidRPr="009A2084" w:rsidRDefault="009A2084" w:rsidP="009A2084">
      <w:pPr>
        <w:ind w:left="567" w:hanging="567"/>
        <w:rPr>
          <w:szCs w:val="24"/>
        </w:rPr>
      </w:pPr>
    </w:p>
    <w:p w14:paraId="41629A95" w14:textId="77777777" w:rsidR="009A2084" w:rsidRPr="009A2084" w:rsidRDefault="009A2084">
      <w:pPr>
        <w:pStyle w:val="ListParagraph"/>
        <w:numPr>
          <w:ilvl w:val="0"/>
          <w:numId w:val="2"/>
        </w:numPr>
        <w:spacing w:after="160"/>
        <w:contextualSpacing/>
        <w:rPr>
          <w:szCs w:val="24"/>
        </w:rPr>
      </w:pPr>
      <w:r w:rsidRPr="009A2084">
        <w:rPr>
          <w:szCs w:val="24"/>
        </w:rPr>
        <w:t>Additionally Resourced Mainstream (ARMs) provision – 10% increase per place/top up</w:t>
      </w:r>
    </w:p>
    <w:p w14:paraId="7ED11E77" w14:textId="1F2BAFA0" w:rsidR="009A2084" w:rsidRDefault="009A2084">
      <w:pPr>
        <w:pStyle w:val="ListParagraph"/>
        <w:numPr>
          <w:ilvl w:val="0"/>
          <w:numId w:val="2"/>
        </w:numPr>
        <w:spacing w:after="160"/>
        <w:contextualSpacing/>
        <w:rPr>
          <w:szCs w:val="24"/>
        </w:rPr>
      </w:pPr>
      <w:r w:rsidRPr="009A2084">
        <w:rPr>
          <w:szCs w:val="24"/>
        </w:rPr>
        <w:t>EHCPs in mainstream schools – 3.4% increase per matrix band/hourly rate</w:t>
      </w:r>
    </w:p>
    <w:p w14:paraId="69FD4D90" w14:textId="77777777" w:rsidR="009A2084" w:rsidRPr="009A2084" w:rsidRDefault="009A2084" w:rsidP="009A2084">
      <w:pPr>
        <w:pStyle w:val="ListParagraph"/>
        <w:spacing w:after="160"/>
        <w:ind w:left="927"/>
        <w:contextualSpacing/>
        <w:rPr>
          <w:szCs w:val="24"/>
        </w:rPr>
      </w:pPr>
    </w:p>
    <w:p w14:paraId="378AC15A" w14:textId="580447C9" w:rsidR="009A2084" w:rsidRPr="009A2084" w:rsidRDefault="009A2084">
      <w:pPr>
        <w:pStyle w:val="ListParagraph"/>
        <w:numPr>
          <w:ilvl w:val="0"/>
          <w:numId w:val="1"/>
        </w:numPr>
        <w:ind w:left="567" w:hanging="567"/>
        <w:rPr>
          <w:szCs w:val="24"/>
        </w:rPr>
      </w:pPr>
      <w:r w:rsidRPr="009A2084">
        <w:rPr>
          <w:szCs w:val="24"/>
        </w:rPr>
        <w:t>In addition, special schools in Harrow were given an increase of up to 3% per pupil compared with the 2021-22 place/top up funding and an additional allocation of 3.4% increase from the High Needs Additional Grant. These were mandated increases by the DfE.</w:t>
      </w:r>
    </w:p>
    <w:p w14:paraId="3742C210" w14:textId="77777777" w:rsidR="009A2084" w:rsidRPr="009A2084" w:rsidRDefault="009A2084" w:rsidP="009A2084">
      <w:pPr>
        <w:ind w:left="567" w:hanging="567"/>
        <w:rPr>
          <w:szCs w:val="24"/>
        </w:rPr>
      </w:pPr>
    </w:p>
    <w:p w14:paraId="612878ED" w14:textId="26626C72" w:rsidR="009A2084" w:rsidRPr="009A2084" w:rsidRDefault="009A2084">
      <w:pPr>
        <w:pStyle w:val="ListParagraph"/>
        <w:numPr>
          <w:ilvl w:val="0"/>
          <w:numId w:val="1"/>
        </w:numPr>
        <w:ind w:left="567" w:hanging="567"/>
        <w:rPr>
          <w:szCs w:val="24"/>
        </w:rPr>
      </w:pPr>
      <w:r w:rsidRPr="009A2084">
        <w:rPr>
          <w:szCs w:val="24"/>
        </w:rPr>
        <w:t xml:space="preserve">At Schools Forum on 7 March 2023 schools accepted the increases for ARMs and special schools but expressed significant disappointment at the 3.4% increase for mainstream EHCPs. Schools Forum, on behalf of the wider school community, judged that funding has not kept pace with increasing staffing costs resulting from pay inflation. Whilst the proposal for 2023-24 was intended to be an interim increase pending the outcome </w:t>
      </w:r>
      <w:r w:rsidRPr="009A2084">
        <w:rPr>
          <w:szCs w:val="24"/>
        </w:rPr>
        <w:lastRenderedPageBreak/>
        <w:t xml:space="preserve">of funding reviews to take place in 2023-24, schools did not accept this increase. </w:t>
      </w:r>
    </w:p>
    <w:p w14:paraId="3EA8EFE7" w14:textId="77777777" w:rsidR="009A2084" w:rsidRPr="009A2084" w:rsidRDefault="009A2084" w:rsidP="009A2084">
      <w:pPr>
        <w:pStyle w:val="Default"/>
        <w:ind w:left="567" w:hanging="567"/>
      </w:pPr>
    </w:p>
    <w:p w14:paraId="6DB839AE" w14:textId="7410F9DF" w:rsidR="009A2084" w:rsidRPr="009A2084" w:rsidRDefault="009A2084">
      <w:pPr>
        <w:pStyle w:val="Default"/>
        <w:numPr>
          <w:ilvl w:val="0"/>
          <w:numId w:val="1"/>
        </w:numPr>
        <w:ind w:left="567" w:hanging="567"/>
      </w:pPr>
      <w:r w:rsidRPr="009A2084">
        <w:t>This report sets out proposal to increase the funding provided to mainstream schools for Education Health and Care Plans for pupils with special educational needs.</w:t>
      </w:r>
    </w:p>
    <w:p w14:paraId="4A4EC5C4" w14:textId="77777777" w:rsidR="009A2084" w:rsidRPr="009A2084" w:rsidRDefault="009A2084" w:rsidP="009A2084">
      <w:pPr>
        <w:pStyle w:val="Default"/>
        <w:ind w:left="567" w:hanging="567"/>
      </w:pPr>
    </w:p>
    <w:p w14:paraId="53BE63EF" w14:textId="31F62C37" w:rsidR="009A2084" w:rsidRPr="009A2084" w:rsidRDefault="009A2084">
      <w:pPr>
        <w:pStyle w:val="Default"/>
        <w:numPr>
          <w:ilvl w:val="0"/>
          <w:numId w:val="1"/>
        </w:numPr>
        <w:ind w:left="567" w:hanging="567"/>
      </w:pPr>
      <w:r w:rsidRPr="009A2084">
        <w:t xml:space="preserve">This decision contributes to the Council’s priorities: </w:t>
      </w:r>
    </w:p>
    <w:p w14:paraId="067EB1EE" w14:textId="77777777" w:rsidR="009A2084" w:rsidRPr="009A2084" w:rsidRDefault="009A2084" w:rsidP="009A2084">
      <w:pPr>
        <w:pStyle w:val="Default"/>
        <w:ind w:left="567" w:hanging="567"/>
      </w:pPr>
    </w:p>
    <w:p w14:paraId="457CBE58" w14:textId="77777777" w:rsidR="009A2084" w:rsidRPr="009A2084" w:rsidRDefault="009A2084">
      <w:pPr>
        <w:pStyle w:val="Default"/>
        <w:numPr>
          <w:ilvl w:val="0"/>
          <w:numId w:val="3"/>
        </w:numPr>
        <w:tabs>
          <w:tab w:val="left" w:pos="1134"/>
        </w:tabs>
        <w:ind w:hanging="720"/>
      </w:pPr>
      <w:r w:rsidRPr="009A2084">
        <w:t xml:space="preserve">A council that puts residents first </w:t>
      </w:r>
    </w:p>
    <w:p w14:paraId="5D9F095D" w14:textId="6DC9EE1A" w:rsidR="009A2084" w:rsidRPr="009A2084" w:rsidRDefault="009A2084" w:rsidP="009A2084">
      <w:pPr>
        <w:pStyle w:val="Default"/>
        <w:ind w:left="1134"/>
      </w:pPr>
      <w:r w:rsidRPr="009A2084">
        <w:t xml:space="preserve">Providing high quality local educational provision for all pupils including those with SEND in mainstream schools increases parental preference, inclusion and gives all children and young people the opportunity to have the best start in life and to achieve their potential and employment prospects. </w:t>
      </w:r>
    </w:p>
    <w:p w14:paraId="69EB09D5" w14:textId="77777777" w:rsidR="009A2084" w:rsidRPr="009A2084" w:rsidRDefault="009A2084" w:rsidP="009A2084">
      <w:pPr>
        <w:pStyle w:val="Default"/>
        <w:ind w:left="567" w:hanging="567"/>
      </w:pPr>
    </w:p>
    <w:p w14:paraId="1DE425F6" w14:textId="07B441C6" w:rsidR="009A2084" w:rsidRPr="009A2084" w:rsidRDefault="009A2084">
      <w:pPr>
        <w:pStyle w:val="Default"/>
        <w:numPr>
          <w:ilvl w:val="0"/>
          <w:numId w:val="3"/>
        </w:numPr>
        <w:tabs>
          <w:tab w:val="left" w:pos="567"/>
        </w:tabs>
        <w:ind w:left="1134" w:hanging="567"/>
      </w:pPr>
      <w:r w:rsidRPr="009A2084">
        <w:t xml:space="preserve">A place where those in need are supported </w:t>
      </w:r>
    </w:p>
    <w:p w14:paraId="4D022332" w14:textId="16C1B5C1" w:rsidR="009A2084" w:rsidRPr="009A2084" w:rsidRDefault="009A2084" w:rsidP="009A2084">
      <w:pPr>
        <w:pStyle w:val="Default"/>
        <w:ind w:left="1134"/>
      </w:pPr>
      <w:r w:rsidRPr="009A2084">
        <w:t xml:space="preserve">Ensuring Harrow Council fulfils its statutory duties to provide sufficient school places in its area including those with special educational needs. </w:t>
      </w:r>
    </w:p>
    <w:p w14:paraId="20665B0C" w14:textId="77777777" w:rsidR="009A2084" w:rsidRPr="009A2084" w:rsidRDefault="009A2084" w:rsidP="009A2084">
      <w:pPr>
        <w:pStyle w:val="Default"/>
        <w:ind w:left="567"/>
      </w:pPr>
    </w:p>
    <w:p w14:paraId="25BF1C9C" w14:textId="77777777" w:rsidR="009A2084" w:rsidRPr="009A2084" w:rsidRDefault="009A2084" w:rsidP="009A2084">
      <w:pPr>
        <w:pStyle w:val="Default"/>
        <w:rPr>
          <w:sz w:val="28"/>
          <w:szCs w:val="28"/>
        </w:rPr>
      </w:pPr>
      <w:r w:rsidRPr="009A2084">
        <w:rPr>
          <w:b/>
          <w:bCs/>
          <w:sz w:val="28"/>
          <w:szCs w:val="28"/>
        </w:rPr>
        <w:t xml:space="preserve">Options considered </w:t>
      </w:r>
    </w:p>
    <w:p w14:paraId="763705EA" w14:textId="5FB2A6FC" w:rsidR="009A2084" w:rsidRPr="009A2084" w:rsidRDefault="009A2084">
      <w:pPr>
        <w:pStyle w:val="Default"/>
        <w:numPr>
          <w:ilvl w:val="0"/>
          <w:numId w:val="1"/>
        </w:numPr>
        <w:ind w:left="567" w:hanging="567"/>
      </w:pPr>
      <w:r w:rsidRPr="009A2084">
        <w:t xml:space="preserve">The following options have been considered: </w:t>
      </w:r>
    </w:p>
    <w:p w14:paraId="37EADCAB" w14:textId="77777777" w:rsidR="009A2084" w:rsidRPr="009A2084" w:rsidRDefault="009A2084" w:rsidP="009A2084">
      <w:pPr>
        <w:pStyle w:val="Default"/>
      </w:pPr>
    </w:p>
    <w:p w14:paraId="48204CEF" w14:textId="182F34DB" w:rsidR="009A2084" w:rsidRPr="009A2084" w:rsidRDefault="009A2084" w:rsidP="009A2084">
      <w:pPr>
        <w:pStyle w:val="Default"/>
        <w:ind w:left="567"/>
      </w:pPr>
      <w:r w:rsidRPr="009A2084">
        <w:t xml:space="preserve">Option 1: Do Nothing – this would not a viable option because the schools </w:t>
      </w:r>
      <w:r w:rsidR="00244F0F">
        <w:t xml:space="preserve">have said that they are not able to deliver </w:t>
      </w:r>
      <w:r w:rsidR="00A15F08">
        <w:t xml:space="preserve">this provision without </w:t>
      </w:r>
      <w:r w:rsidRPr="009A2084">
        <w:t xml:space="preserve">the increase for EHCPs. </w:t>
      </w:r>
    </w:p>
    <w:p w14:paraId="200AD3C2" w14:textId="77777777" w:rsidR="009A2084" w:rsidRPr="009A2084" w:rsidRDefault="009A2084" w:rsidP="009A2084">
      <w:pPr>
        <w:pStyle w:val="Default"/>
        <w:ind w:left="567"/>
      </w:pPr>
    </w:p>
    <w:p w14:paraId="370970CC" w14:textId="20D2217F" w:rsidR="009A2084" w:rsidRPr="009A2084" w:rsidRDefault="009A2084" w:rsidP="009A2084">
      <w:pPr>
        <w:ind w:left="567"/>
        <w:rPr>
          <w:szCs w:val="24"/>
        </w:rPr>
      </w:pPr>
      <w:r w:rsidRPr="009A2084">
        <w:rPr>
          <w:szCs w:val="24"/>
        </w:rPr>
        <w:t xml:space="preserve">Option 2: To increase the funding for EHCPs 2023-24 by 10% as an interim increase during 2023-24 and undertake the funding reviews to inform the funding level for EHCPs for 2024-25. </w:t>
      </w:r>
    </w:p>
    <w:p w14:paraId="385BD217" w14:textId="359784BD" w:rsidR="009A2084" w:rsidRPr="009A2084" w:rsidRDefault="009A2084" w:rsidP="009A2084">
      <w:pPr>
        <w:ind w:left="567"/>
        <w:rPr>
          <w:szCs w:val="24"/>
        </w:rPr>
      </w:pPr>
    </w:p>
    <w:p w14:paraId="10CC0BF9" w14:textId="5E3240E9" w:rsidR="009A2084" w:rsidRDefault="009A2084">
      <w:pPr>
        <w:pStyle w:val="ListParagraph"/>
        <w:numPr>
          <w:ilvl w:val="0"/>
          <w:numId w:val="1"/>
        </w:numPr>
        <w:ind w:left="567" w:hanging="567"/>
      </w:pPr>
      <w:r w:rsidRPr="009A2084">
        <w:rPr>
          <w:szCs w:val="24"/>
        </w:rPr>
        <w:t>Option 2 is the preferred option which is being proposed for implementation</w:t>
      </w:r>
      <w:r w:rsidRPr="009A2084">
        <w:rPr>
          <w:sz w:val="23"/>
          <w:szCs w:val="23"/>
        </w:rPr>
        <w:t xml:space="preserve">. </w:t>
      </w:r>
    </w:p>
    <w:p w14:paraId="555F46AB" w14:textId="77777777" w:rsidR="009A2084" w:rsidRPr="009A2084" w:rsidRDefault="009A2084" w:rsidP="00192F10">
      <w:pPr>
        <w:spacing w:after="240"/>
        <w:rPr>
          <w:rFonts w:cs="Arial"/>
          <w:b/>
          <w:sz w:val="28"/>
          <w:szCs w:val="28"/>
        </w:rPr>
      </w:pPr>
    </w:p>
    <w:p w14:paraId="4F17E731" w14:textId="631C7271" w:rsidR="00A71F05" w:rsidRPr="009A2084" w:rsidRDefault="00A71F05" w:rsidP="00192F10">
      <w:pPr>
        <w:spacing w:after="240"/>
        <w:rPr>
          <w:rFonts w:cs="Arial"/>
          <w:b/>
          <w:sz w:val="28"/>
          <w:szCs w:val="28"/>
        </w:rPr>
      </w:pPr>
      <w:r w:rsidRPr="009A2084">
        <w:rPr>
          <w:rFonts w:cs="Arial"/>
          <w:b/>
          <w:sz w:val="28"/>
          <w:szCs w:val="28"/>
        </w:rPr>
        <w:t>Current situation</w:t>
      </w:r>
    </w:p>
    <w:p w14:paraId="2FE49183" w14:textId="100BAE7F" w:rsidR="009A2084" w:rsidRPr="00A8512C" w:rsidRDefault="009A2084" w:rsidP="009A2084">
      <w:pPr>
        <w:pStyle w:val="ListParagraph"/>
        <w:spacing w:after="160"/>
        <w:ind w:left="567"/>
        <w:contextualSpacing/>
      </w:pPr>
      <w:r w:rsidRPr="00A8512C">
        <w:t>Schools Forum</w:t>
      </w:r>
    </w:p>
    <w:p w14:paraId="2B31F4B0" w14:textId="77777777" w:rsidR="00A8512C" w:rsidRDefault="00A8512C" w:rsidP="009A2084">
      <w:pPr>
        <w:pStyle w:val="ListParagraph"/>
        <w:spacing w:after="160"/>
        <w:ind w:left="567"/>
        <w:contextualSpacing/>
      </w:pPr>
    </w:p>
    <w:p w14:paraId="48427CD9" w14:textId="05693360" w:rsidR="009A2084" w:rsidRDefault="009A2084">
      <w:pPr>
        <w:pStyle w:val="ListParagraph"/>
        <w:numPr>
          <w:ilvl w:val="0"/>
          <w:numId w:val="1"/>
        </w:numPr>
        <w:spacing w:after="160"/>
        <w:ind w:left="567" w:hanging="567"/>
        <w:contextualSpacing/>
      </w:pPr>
      <w:r>
        <w:t xml:space="preserve">In their consideration of the EHCP </w:t>
      </w:r>
      <w:r w:rsidRPr="009A2084">
        <w:rPr>
          <w:szCs w:val="24"/>
        </w:rPr>
        <w:t xml:space="preserve">3.4% increase per matrix band/hourly rate </w:t>
      </w:r>
      <w:r>
        <w:t xml:space="preserve">increase, Schools Forum noted that, from their independent gathering of data, other local authorities fund mainstream EHCPs at a significantly higher rates than Harrow which creates a disadvantage for Harrow pupils and Harrow schools. In addition, schools reference the cost of a Teaching Assistant grade G2 and that the increase in costs for this post has been 22% since 2018-19 (9% between 2018-19 and 2021-22 and 13% in 2022-23). During this time funding for EHCPs has been increased by 1.25%. Whilst funding for EHCPs does not directly correlate to the number of hours a Teaching Assistant (TA) is employed, </w:t>
      </w:r>
      <w:r>
        <w:lastRenderedPageBreak/>
        <w:t xml:space="preserve">the funding is largely provided to enable schools to employ TAs to support pupils with EHCPs. They also noted that Harrow pays a higher rate for Harrow residents educated in out of borough mainstream schools as LAs are required to pay the funding rates set by the other LA. </w:t>
      </w:r>
    </w:p>
    <w:p w14:paraId="2CB3AD13" w14:textId="77777777" w:rsidR="009A2084" w:rsidRDefault="009A2084" w:rsidP="009A2084">
      <w:pPr>
        <w:pStyle w:val="ListParagraph"/>
        <w:spacing w:after="160"/>
        <w:ind w:left="567"/>
        <w:contextualSpacing/>
      </w:pPr>
    </w:p>
    <w:p w14:paraId="1AA3B2A6" w14:textId="77777777" w:rsidR="009A2084" w:rsidRPr="009A2084" w:rsidRDefault="009A2084">
      <w:pPr>
        <w:pStyle w:val="ListParagraph"/>
        <w:numPr>
          <w:ilvl w:val="0"/>
          <w:numId w:val="1"/>
        </w:numPr>
        <w:ind w:left="567" w:hanging="567"/>
      </w:pPr>
      <w:r w:rsidRPr="009A2084">
        <w:t xml:space="preserve">Comparison of funding between LAs for EHCPs is not that straightforward since some LAs (including Harrow) use a banding matrix which will differ between LAs. For those LAs using hourly rates, some fund schools over 38 weeks, others over 52 weeks so not comparable on the face of it. </w:t>
      </w:r>
    </w:p>
    <w:p w14:paraId="1FA5070B" w14:textId="77777777" w:rsidR="009A2084" w:rsidRPr="009A2084" w:rsidRDefault="009A2084" w:rsidP="009A2084">
      <w:pPr>
        <w:ind w:left="567" w:hanging="567"/>
      </w:pPr>
    </w:p>
    <w:p w14:paraId="6645EEBE" w14:textId="1F0BC40B" w:rsidR="009A2084" w:rsidRPr="009A2084" w:rsidRDefault="009A2084">
      <w:pPr>
        <w:pStyle w:val="ListParagraph"/>
        <w:numPr>
          <w:ilvl w:val="0"/>
          <w:numId w:val="1"/>
        </w:numPr>
        <w:ind w:left="567" w:hanging="567"/>
      </w:pPr>
      <w:r w:rsidRPr="009A2084">
        <w:t xml:space="preserve">However, as an interim arrangement it is proposed to increase EHCP funding by 10% compared with 2022-23 funding levels. The original proposal of 3.4% was an additional cost to the High Needs Block of £362k. The revised proposal would be an additional cost of £823k compared to 2022-23, thus a further £461k compared with the proposal of 3.4% agreed by Cabinet in February 2023. </w:t>
      </w:r>
    </w:p>
    <w:p w14:paraId="459BC66B" w14:textId="77777777" w:rsidR="009A2084" w:rsidRPr="009A2084" w:rsidRDefault="009A2084" w:rsidP="009A2084">
      <w:pPr>
        <w:ind w:left="567" w:hanging="567"/>
      </w:pPr>
    </w:p>
    <w:p w14:paraId="1D3F3DD6" w14:textId="3A8973FB" w:rsidR="009A2084" w:rsidRDefault="009A2084" w:rsidP="009A2084">
      <w:pPr>
        <w:pStyle w:val="ListParagraph"/>
        <w:ind w:left="567"/>
      </w:pPr>
      <w:r>
        <w:t>Funding Reviews</w:t>
      </w:r>
    </w:p>
    <w:p w14:paraId="46333901" w14:textId="77777777" w:rsidR="00A8512C" w:rsidRDefault="00A8512C" w:rsidP="009A2084">
      <w:pPr>
        <w:pStyle w:val="ListParagraph"/>
        <w:ind w:left="567"/>
      </w:pPr>
    </w:p>
    <w:p w14:paraId="43776A3B" w14:textId="640F3553" w:rsidR="009A2084" w:rsidRPr="009A2084" w:rsidRDefault="009A2084">
      <w:pPr>
        <w:pStyle w:val="ListParagraph"/>
        <w:numPr>
          <w:ilvl w:val="0"/>
          <w:numId w:val="1"/>
        </w:numPr>
        <w:autoSpaceDE w:val="0"/>
        <w:autoSpaceDN w:val="0"/>
        <w:adjustRightInd w:val="0"/>
        <w:ind w:left="567" w:hanging="567"/>
        <w:rPr>
          <w:rFonts w:cs="Arial"/>
          <w:szCs w:val="24"/>
          <w:lang w:eastAsia="en-GB"/>
        </w:rPr>
      </w:pPr>
      <w:r w:rsidRPr="009A2084">
        <w:rPr>
          <w:rFonts w:cs="Arial"/>
          <w:szCs w:val="24"/>
          <w:lang w:eastAsia="en-GB"/>
        </w:rPr>
        <w:t xml:space="preserve">Over the last few years, the LA has committed to reviewing SEND funding for in-borough provision. There is a general view from schools that funding has not been significantly increased for many years and has not kept pace with increasing costs particularly in relation to pay inflation and for ARMS settings in particular. The SEND provision includes Education Health and Care Plans (EHCPs) in mainstream schools, Additionally Resourced Mainstream Schools (ARMS) and special schools. In this context it is expected that the three reviews will identify that additional funding is required across all areas </w:t>
      </w:r>
      <w:r w:rsidR="002C15CF">
        <w:rPr>
          <w:rFonts w:cs="Arial"/>
          <w:szCs w:val="24"/>
          <w:lang w:eastAsia="en-GB"/>
        </w:rPr>
        <w:t>from the High Needs Block</w:t>
      </w:r>
    </w:p>
    <w:p w14:paraId="785202B9" w14:textId="77777777" w:rsidR="009A2084" w:rsidRPr="009A2084" w:rsidRDefault="009A2084" w:rsidP="009A2084">
      <w:pPr>
        <w:autoSpaceDE w:val="0"/>
        <w:autoSpaceDN w:val="0"/>
        <w:adjustRightInd w:val="0"/>
        <w:ind w:left="567" w:hanging="567"/>
        <w:rPr>
          <w:rFonts w:cs="Arial"/>
          <w:szCs w:val="24"/>
          <w:lang w:eastAsia="en-GB"/>
        </w:rPr>
      </w:pPr>
    </w:p>
    <w:p w14:paraId="06A7F793" w14:textId="156C851E" w:rsidR="009A2084" w:rsidRDefault="009A2084">
      <w:pPr>
        <w:pStyle w:val="ListParagraph"/>
        <w:numPr>
          <w:ilvl w:val="0"/>
          <w:numId w:val="1"/>
        </w:numPr>
        <w:autoSpaceDE w:val="0"/>
        <w:autoSpaceDN w:val="0"/>
        <w:adjustRightInd w:val="0"/>
        <w:ind w:left="567" w:hanging="567"/>
        <w:rPr>
          <w:rFonts w:cs="Arial"/>
          <w:szCs w:val="24"/>
          <w:lang w:eastAsia="en-GB"/>
        </w:rPr>
      </w:pPr>
      <w:r w:rsidRPr="009A2084">
        <w:rPr>
          <w:rFonts w:cs="Arial"/>
          <w:szCs w:val="24"/>
          <w:lang w:eastAsia="en-GB"/>
        </w:rPr>
        <w:t>Consultants have been appointed to undertake the reviews and engage with a range of stakeholders including headteachers, SENCOs, business managers, parents etc.  The reviews need to be completed and a consultation to be conducted during the Autumn. The consultation outcome will be reported to Cabinet and the final funding levels will be agreed by Cabinet in February as part of the Council’s Budget setting process</w:t>
      </w:r>
      <w:r w:rsidR="002C15CF">
        <w:rPr>
          <w:rFonts w:cs="Arial"/>
          <w:szCs w:val="24"/>
          <w:lang w:eastAsia="en-GB"/>
        </w:rPr>
        <w:t>, with any proposals to be funded from the HNB</w:t>
      </w:r>
      <w:r w:rsidRPr="009A2084">
        <w:rPr>
          <w:rFonts w:cs="Arial"/>
          <w:szCs w:val="24"/>
          <w:lang w:eastAsia="en-GB"/>
        </w:rPr>
        <w:t>.</w:t>
      </w:r>
    </w:p>
    <w:p w14:paraId="0DE79E28" w14:textId="77777777" w:rsidR="009A2084" w:rsidRPr="009A2084" w:rsidRDefault="009A2084" w:rsidP="009A2084">
      <w:pPr>
        <w:pStyle w:val="ListParagraph"/>
        <w:rPr>
          <w:rFonts w:cs="Arial"/>
          <w:szCs w:val="24"/>
          <w:lang w:eastAsia="en-GB"/>
        </w:rPr>
      </w:pPr>
    </w:p>
    <w:p w14:paraId="0F9CD016" w14:textId="11F7C277" w:rsidR="009A2084" w:rsidRPr="009A2084" w:rsidRDefault="009A2084">
      <w:pPr>
        <w:pStyle w:val="ListParagraph"/>
        <w:numPr>
          <w:ilvl w:val="0"/>
          <w:numId w:val="1"/>
        </w:numPr>
        <w:autoSpaceDE w:val="0"/>
        <w:autoSpaceDN w:val="0"/>
        <w:adjustRightInd w:val="0"/>
        <w:ind w:left="567" w:hanging="567"/>
        <w:rPr>
          <w:rFonts w:cs="Arial"/>
          <w:szCs w:val="24"/>
          <w:lang w:eastAsia="en-GB"/>
        </w:rPr>
      </w:pPr>
      <w:r>
        <w:rPr>
          <w:rFonts w:cs="Arial"/>
          <w:szCs w:val="24"/>
          <w:lang w:eastAsia="en-GB"/>
        </w:rPr>
        <w:t>With full engagement and contributions from schools, the funding reviews will establish the funding for special schools, ARMs and EHCPs and consider the points that Schools Forum have raised. Beyond the proposal in this report to increase EHCP funding for 2023-24 there is no mechanism to increase funding.</w:t>
      </w:r>
    </w:p>
    <w:p w14:paraId="7B261EAD" w14:textId="77777777" w:rsidR="009A2084" w:rsidRDefault="009A2084" w:rsidP="009A2084"/>
    <w:p w14:paraId="21A90180" w14:textId="6004C471" w:rsidR="009A2084" w:rsidRDefault="009A2084">
      <w:pPr>
        <w:pStyle w:val="ListParagraph"/>
        <w:numPr>
          <w:ilvl w:val="0"/>
          <w:numId w:val="1"/>
        </w:numPr>
        <w:ind w:left="567" w:hanging="567"/>
      </w:pPr>
      <w:r>
        <w:t>An updated SEND Strategy will be presented to Cabinet in 2023 and will refresh the actions being taken to mitigate the deficit which includes:</w:t>
      </w:r>
    </w:p>
    <w:p w14:paraId="31F0FE51" w14:textId="77777777" w:rsidR="009A2084" w:rsidRDefault="009A2084" w:rsidP="009A2084"/>
    <w:p w14:paraId="6BAB42A5" w14:textId="77777777" w:rsidR="009A2084" w:rsidRDefault="009A2084">
      <w:pPr>
        <w:pStyle w:val="ListParagraph"/>
        <w:numPr>
          <w:ilvl w:val="0"/>
          <w:numId w:val="3"/>
        </w:numPr>
        <w:ind w:left="851" w:hanging="284"/>
      </w:pPr>
      <w:r>
        <w:t>opening more ARMS provision at mainstream schools</w:t>
      </w:r>
    </w:p>
    <w:p w14:paraId="2428A828" w14:textId="77777777" w:rsidR="009A2084" w:rsidRDefault="009A2084">
      <w:pPr>
        <w:pStyle w:val="ListParagraph"/>
        <w:numPr>
          <w:ilvl w:val="0"/>
          <w:numId w:val="3"/>
        </w:numPr>
        <w:ind w:left="851" w:hanging="284"/>
      </w:pPr>
      <w:r>
        <w:t>changing the character of special MLD schools to take more children with SLD</w:t>
      </w:r>
    </w:p>
    <w:p w14:paraId="46C7D5E1" w14:textId="77777777" w:rsidR="009A2084" w:rsidRDefault="009A2084">
      <w:pPr>
        <w:pStyle w:val="ListParagraph"/>
        <w:numPr>
          <w:ilvl w:val="0"/>
          <w:numId w:val="3"/>
        </w:numPr>
        <w:ind w:left="851" w:hanging="284"/>
      </w:pPr>
      <w:r>
        <w:lastRenderedPageBreak/>
        <w:t xml:space="preserve">continued support to mainstream schools to make provision for more pupils with EHCPs </w:t>
      </w:r>
    </w:p>
    <w:p w14:paraId="6CC8F1C5" w14:textId="77777777" w:rsidR="009A2084" w:rsidRDefault="009A2084">
      <w:pPr>
        <w:pStyle w:val="ListParagraph"/>
        <w:numPr>
          <w:ilvl w:val="0"/>
          <w:numId w:val="3"/>
        </w:numPr>
        <w:ind w:left="851" w:hanging="284"/>
      </w:pPr>
      <w:r>
        <w:t>exploring further options to create in borough specialist provision including increased post 16 opportunities</w:t>
      </w:r>
    </w:p>
    <w:p w14:paraId="73EFF924" w14:textId="77777777" w:rsidR="009A2084" w:rsidRDefault="009A2084">
      <w:pPr>
        <w:pStyle w:val="ListParagraph"/>
        <w:numPr>
          <w:ilvl w:val="0"/>
          <w:numId w:val="3"/>
        </w:numPr>
        <w:ind w:left="851" w:hanging="284"/>
      </w:pPr>
      <w:r>
        <w:t>a stronger focus on integrated work with other agencies, including health services, to ensure that children with SEND have needs met locally</w:t>
      </w:r>
    </w:p>
    <w:p w14:paraId="5835CD8B" w14:textId="77777777" w:rsidR="009A2084" w:rsidRDefault="009A2084">
      <w:pPr>
        <w:pStyle w:val="ListParagraph"/>
        <w:numPr>
          <w:ilvl w:val="0"/>
          <w:numId w:val="3"/>
        </w:numPr>
        <w:ind w:left="851" w:hanging="284"/>
      </w:pPr>
      <w:r>
        <w:t>more integrated approaches to school attendance, including for children with SEMH challenges so that more intensive provision is not required</w:t>
      </w:r>
    </w:p>
    <w:p w14:paraId="231B23E4" w14:textId="77777777" w:rsidR="009A2084" w:rsidRDefault="009A2084" w:rsidP="009A2084">
      <w:pPr>
        <w:ind w:left="246"/>
      </w:pPr>
    </w:p>
    <w:p w14:paraId="633CA5DC" w14:textId="4F768585" w:rsidR="009A2084" w:rsidRDefault="009A2084">
      <w:pPr>
        <w:pStyle w:val="ListParagraph"/>
        <w:numPr>
          <w:ilvl w:val="0"/>
          <w:numId w:val="1"/>
        </w:numPr>
        <w:ind w:left="567" w:hanging="567"/>
      </w:pPr>
      <w:r>
        <w:t xml:space="preserve">In addition, better local provision enables home to school travel strategies and new operative models to reduce impact on the general fund from </w:t>
      </w:r>
      <w:r w:rsidR="009622C1">
        <w:t>SEN Transport</w:t>
      </w:r>
    </w:p>
    <w:p w14:paraId="338C6743" w14:textId="77777777" w:rsidR="00A1507D" w:rsidRDefault="00A1507D" w:rsidP="00A1507D"/>
    <w:p w14:paraId="2C623867" w14:textId="67EE1CF1" w:rsidR="00A1507D" w:rsidRDefault="00A1507D" w:rsidP="00A1507D">
      <w:pPr>
        <w:rPr>
          <w:b/>
        </w:rPr>
      </w:pPr>
      <w:r w:rsidRPr="00307F76">
        <w:rPr>
          <w:b/>
        </w:rPr>
        <w:t>Ward Councillors’ comments</w:t>
      </w:r>
    </w:p>
    <w:p w14:paraId="459C06E9" w14:textId="36AC336E" w:rsidR="009A2084" w:rsidRPr="009A2084" w:rsidRDefault="009A2084">
      <w:pPr>
        <w:pStyle w:val="ListParagraph"/>
        <w:numPr>
          <w:ilvl w:val="0"/>
          <w:numId w:val="1"/>
        </w:numPr>
        <w:ind w:left="567" w:hanging="567"/>
        <w:rPr>
          <w:bCs/>
        </w:rPr>
      </w:pPr>
      <w:r w:rsidRPr="009A2084">
        <w:rPr>
          <w:bCs/>
        </w:rPr>
        <w:t xml:space="preserve">There are no Ward Councillor comments because the proposals in this report affect all Wards. </w:t>
      </w:r>
    </w:p>
    <w:p w14:paraId="4F1A90B2" w14:textId="77777777" w:rsidR="00A1507D" w:rsidRPr="00A1507D" w:rsidRDefault="00A1507D" w:rsidP="00A1507D"/>
    <w:p w14:paraId="492DEF3B" w14:textId="77777777" w:rsidR="00A71F05" w:rsidRPr="009A2084" w:rsidRDefault="00526E5E" w:rsidP="00BB0863">
      <w:pPr>
        <w:pStyle w:val="Heading4"/>
        <w:keepNext w:val="0"/>
        <w:widowControl w:val="0"/>
      </w:pPr>
      <w:r w:rsidRPr="009A2084">
        <w:t>Performance issues</w:t>
      </w:r>
    </w:p>
    <w:p w14:paraId="264BEBE0" w14:textId="77777777" w:rsidR="009A2084" w:rsidRDefault="009A2084">
      <w:pPr>
        <w:pStyle w:val="Default"/>
        <w:numPr>
          <w:ilvl w:val="0"/>
          <w:numId w:val="1"/>
        </w:numPr>
        <w:spacing w:after="260"/>
        <w:ind w:left="567" w:hanging="567"/>
        <w:rPr>
          <w:sz w:val="23"/>
          <w:szCs w:val="23"/>
        </w:rPr>
      </w:pPr>
      <w:r>
        <w:rPr>
          <w:sz w:val="23"/>
          <w:szCs w:val="23"/>
        </w:rPr>
        <w:t>Schools in Harrow perform well in comparison to national and statistically similar local authorities. The vast majority of primary schools and secondary schools are judged ‘good’ or ‘outstanding’ by OfSTED. As at 31</w:t>
      </w:r>
      <w:r>
        <w:rPr>
          <w:sz w:val="16"/>
          <w:szCs w:val="16"/>
        </w:rPr>
        <w:t xml:space="preserve">st </w:t>
      </w:r>
      <w:r>
        <w:rPr>
          <w:sz w:val="23"/>
          <w:szCs w:val="23"/>
        </w:rPr>
        <w:t>December 2021, 93% of Harrow’s primary and secondary schools are judged ‘good’ (49%) or ‘outstanding’ (44%), in line with 93% in London (49% Good, 44% Outstanding) and above 87% nationally (68% Good, 19% Outstanding) (Source: Ofsted Data View)</w:t>
      </w:r>
      <w:r>
        <w:rPr>
          <w:i/>
          <w:iCs/>
          <w:sz w:val="23"/>
          <w:szCs w:val="23"/>
        </w:rPr>
        <w:t xml:space="preserve">. </w:t>
      </w:r>
    </w:p>
    <w:p w14:paraId="49A4AFD7" w14:textId="0810E42A" w:rsidR="009A2084" w:rsidRDefault="009A2084">
      <w:pPr>
        <w:pStyle w:val="Default"/>
        <w:numPr>
          <w:ilvl w:val="0"/>
          <w:numId w:val="1"/>
        </w:numPr>
        <w:spacing w:after="260"/>
        <w:ind w:left="567" w:hanging="567"/>
        <w:rPr>
          <w:sz w:val="23"/>
          <w:szCs w:val="23"/>
        </w:rPr>
      </w:pPr>
      <w:r>
        <w:rPr>
          <w:sz w:val="23"/>
          <w:szCs w:val="23"/>
        </w:rPr>
        <w:t xml:space="preserve">The Education Act 2011 maintains a focus on driving up standards in schools and emphasises the responsibility with the schools directly for their improvement. </w:t>
      </w:r>
    </w:p>
    <w:p w14:paraId="4DFA9F2D" w14:textId="4A6E30C0" w:rsidR="009A2084" w:rsidRDefault="009A2084">
      <w:pPr>
        <w:pStyle w:val="Default"/>
        <w:numPr>
          <w:ilvl w:val="0"/>
          <w:numId w:val="1"/>
        </w:numPr>
        <w:ind w:left="567" w:hanging="567"/>
        <w:rPr>
          <w:sz w:val="23"/>
          <w:szCs w:val="23"/>
        </w:rPr>
      </w:pPr>
      <w:r>
        <w:rPr>
          <w:sz w:val="23"/>
          <w:szCs w:val="23"/>
        </w:rPr>
        <w:t xml:space="preserve">The Local Authority continues to monitor key education indicators. The indicators are used locally to monitor, improve and support education at both school and Local Authority level. They are also used as part of the information provided to the Department for Education. </w:t>
      </w:r>
    </w:p>
    <w:p w14:paraId="0051004F" w14:textId="77777777" w:rsidR="009A2084" w:rsidRDefault="009A2084" w:rsidP="009A2084">
      <w:pPr>
        <w:pStyle w:val="Default"/>
        <w:ind w:left="567" w:hanging="567"/>
        <w:rPr>
          <w:sz w:val="23"/>
          <w:szCs w:val="23"/>
        </w:rPr>
      </w:pPr>
    </w:p>
    <w:p w14:paraId="2C599709" w14:textId="77777777" w:rsidR="00A71F05" w:rsidRPr="009A2084" w:rsidRDefault="00526E5E" w:rsidP="00BB0863">
      <w:pPr>
        <w:pStyle w:val="Heading4"/>
        <w:keepNext w:val="0"/>
        <w:widowControl w:val="0"/>
      </w:pPr>
      <w:r w:rsidRPr="009A2084">
        <w:t xml:space="preserve">Environmental Impact </w:t>
      </w:r>
    </w:p>
    <w:p w14:paraId="3EC7C1C6" w14:textId="4816A316" w:rsidR="00114AB9" w:rsidRPr="009A2084" w:rsidRDefault="009A2084">
      <w:pPr>
        <w:pStyle w:val="ListParagraph"/>
        <w:numPr>
          <w:ilvl w:val="0"/>
          <w:numId w:val="1"/>
        </w:numPr>
        <w:ind w:left="567" w:hanging="567"/>
        <w:rPr>
          <w:rFonts w:eastAsia="Arial" w:cs="Arial"/>
          <w:szCs w:val="24"/>
        </w:rPr>
      </w:pPr>
      <w:r w:rsidRPr="009A2084">
        <w:t xml:space="preserve">There are no environmental impacts in this report </w:t>
      </w:r>
    </w:p>
    <w:p w14:paraId="2A44FDDB" w14:textId="0A84091E" w:rsidR="00114AB9" w:rsidRPr="009A2084" w:rsidRDefault="00114AB9" w:rsidP="09510C8F">
      <w:pPr>
        <w:rPr>
          <w:i/>
          <w:iCs/>
          <w:szCs w:val="24"/>
        </w:rPr>
      </w:pPr>
    </w:p>
    <w:p w14:paraId="33CB7A40" w14:textId="77777777" w:rsidR="00114AB9" w:rsidRPr="009A2084" w:rsidRDefault="00114AB9" w:rsidP="00114AB9">
      <w:pPr>
        <w:pStyle w:val="Heading4"/>
        <w:rPr>
          <w:szCs w:val="24"/>
        </w:rPr>
      </w:pPr>
      <w:r w:rsidRPr="009A2084">
        <w:rPr>
          <w:szCs w:val="24"/>
        </w:rPr>
        <w:t>Data Protection Implications</w:t>
      </w:r>
    </w:p>
    <w:p w14:paraId="2F9FE56D" w14:textId="455C35C1" w:rsidR="00A1507D" w:rsidRPr="009A2084" w:rsidRDefault="009A2084">
      <w:pPr>
        <w:pStyle w:val="ListParagraph"/>
        <w:numPr>
          <w:ilvl w:val="0"/>
          <w:numId w:val="1"/>
        </w:numPr>
        <w:ind w:left="567" w:hanging="567"/>
        <w:rPr>
          <w:rFonts w:eastAsia="Arial" w:cs="Arial"/>
          <w:szCs w:val="24"/>
        </w:rPr>
      </w:pPr>
      <w:r w:rsidRPr="009A2084">
        <w:t>There are no data protection implications in this report.</w:t>
      </w:r>
    </w:p>
    <w:p w14:paraId="253AEB3C" w14:textId="77777777" w:rsidR="007F1F83" w:rsidRDefault="007F1F83" w:rsidP="007F1F83">
      <w:pPr>
        <w:pStyle w:val="Heading3"/>
      </w:pPr>
      <w:r>
        <w:t>Risk Management Implications</w:t>
      </w:r>
    </w:p>
    <w:p w14:paraId="605F3416" w14:textId="77777777" w:rsidR="007F1F83" w:rsidRPr="009A2084" w:rsidRDefault="007F1F83" w:rsidP="007F1F83">
      <w:pPr>
        <w:pStyle w:val="ListParagraph"/>
        <w:numPr>
          <w:ilvl w:val="0"/>
          <w:numId w:val="1"/>
        </w:numPr>
        <w:tabs>
          <w:tab w:val="left" w:pos="5610"/>
        </w:tabs>
        <w:ind w:left="567" w:right="81" w:hanging="567"/>
      </w:pPr>
      <w:r w:rsidRPr="009A2084">
        <w:rPr>
          <w:rFonts w:cs="Arial"/>
          <w:szCs w:val="24"/>
          <w:lang w:val="en-US"/>
        </w:rPr>
        <w:t xml:space="preserve">Risks included on corporate or directorate risk register? </w:t>
      </w:r>
      <w:r w:rsidRPr="009A2084">
        <w:rPr>
          <w:rFonts w:cs="Arial"/>
          <w:b/>
          <w:bCs/>
          <w:szCs w:val="24"/>
          <w:lang w:val="en-US"/>
        </w:rPr>
        <w:t>No</w:t>
      </w:r>
      <w:r w:rsidRPr="009A2084">
        <w:rPr>
          <w:rFonts w:cs="Arial"/>
          <w:szCs w:val="24"/>
          <w:lang w:val="en-US"/>
        </w:rPr>
        <w:t xml:space="preserve"> </w:t>
      </w:r>
    </w:p>
    <w:p w14:paraId="3F5E2149" w14:textId="77777777" w:rsidR="007F1F83" w:rsidRPr="009A2084" w:rsidRDefault="007F1F83" w:rsidP="007F1F83">
      <w:pPr>
        <w:ind w:left="567" w:right="141" w:hanging="567"/>
        <w:rPr>
          <w:rFonts w:cs="Arial"/>
          <w:szCs w:val="24"/>
          <w:lang w:val="en-US" w:eastAsia="en-GB"/>
        </w:rPr>
      </w:pPr>
    </w:p>
    <w:p w14:paraId="192FB993" w14:textId="77777777" w:rsidR="007F1F83" w:rsidRPr="009A2084" w:rsidRDefault="007F1F83" w:rsidP="007F1F83">
      <w:pPr>
        <w:pStyle w:val="ListParagraph"/>
        <w:numPr>
          <w:ilvl w:val="0"/>
          <w:numId w:val="1"/>
        </w:numPr>
        <w:ind w:left="567" w:right="141" w:hanging="567"/>
        <w:rPr>
          <w:rFonts w:cs="Arial"/>
          <w:szCs w:val="24"/>
          <w:lang w:val="en-US" w:eastAsia="en-GB"/>
        </w:rPr>
      </w:pPr>
      <w:r w:rsidRPr="009A2084">
        <w:rPr>
          <w:rFonts w:cs="Arial"/>
          <w:szCs w:val="24"/>
          <w:lang w:val="en-US" w:eastAsia="en-GB"/>
        </w:rPr>
        <w:t xml:space="preserve">Separate risk register in place? </w:t>
      </w:r>
      <w:r w:rsidRPr="009A2084">
        <w:rPr>
          <w:rFonts w:cs="Arial"/>
          <w:b/>
          <w:bCs/>
          <w:szCs w:val="24"/>
          <w:lang w:val="en-US" w:eastAsia="en-GB"/>
        </w:rPr>
        <w:t>No</w:t>
      </w:r>
      <w:r w:rsidRPr="009A2084">
        <w:rPr>
          <w:rFonts w:cs="Arial"/>
          <w:szCs w:val="24"/>
          <w:lang w:val="en-US" w:eastAsia="en-GB"/>
        </w:rPr>
        <w:t xml:space="preserve"> </w:t>
      </w:r>
    </w:p>
    <w:p w14:paraId="56EEFDE3" w14:textId="77777777" w:rsidR="007F1F83" w:rsidRPr="009A2084" w:rsidRDefault="007F1F83" w:rsidP="007F1F83">
      <w:pPr>
        <w:tabs>
          <w:tab w:val="left" w:pos="5610"/>
        </w:tabs>
        <w:ind w:left="567" w:right="81" w:hanging="567"/>
      </w:pPr>
    </w:p>
    <w:p w14:paraId="298EE43A" w14:textId="77777777" w:rsidR="007F1F83" w:rsidRPr="00734F14" w:rsidRDefault="007F1F83" w:rsidP="007F1F83">
      <w:pPr>
        <w:pStyle w:val="ListParagraph"/>
        <w:numPr>
          <w:ilvl w:val="0"/>
          <w:numId w:val="1"/>
        </w:numPr>
        <w:tabs>
          <w:tab w:val="left" w:pos="5610"/>
        </w:tabs>
        <w:ind w:left="567" w:right="81" w:hanging="567"/>
      </w:pPr>
      <w:r>
        <w:t xml:space="preserve">The relevant risks contained in the register are attached/summarised below. </w:t>
      </w:r>
      <w:r w:rsidRPr="00734F14">
        <w:rPr>
          <w:rFonts w:cs="Arial"/>
          <w:b/>
          <w:bCs/>
          <w:szCs w:val="24"/>
          <w:lang w:val="en-US" w:eastAsia="en-GB"/>
        </w:rPr>
        <w:t>N/A</w:t>
      </w:r>
    </w:p>
    <w:p w14:paraId="69D65B16" w14:textId="77777777" w:rsidR="007F1F83" w:rsidRDefault="007F1F83" w:rsidP="007F1F83"/>
    <w:p w14:paraId="5F7148E9" w14:textId="77777777" w:rsidR="007F1F83" w:rsidRDefault="007F1F83" w:rsidP="007F1F83">
      <w:pPr>
        <w:pStyle w:val="ListParagraph"/>
        <w:numPr>
          <w:ilvl w:val="0"/>
          <w:numId w:val="1"/>
        </w:numPr>
        <w:ind w:left="567" w:hanging="567"/>
      </w:pPr>
      <w:r>
        <w:t>The following key risks should be taken into account when agreeing the recommendations in this report:</w:t>
      </w:r>
    </w:p>
    <w:p w14:paraId="1806FE65" w14:textId="77777777" w:rsidR="007F1F83" w:rsidRDefault="007F1F83" w:rsidP="007F1F83">
      <w:pPr>
        <w:ind w:left="567" w:right="141" w:hanging="567"/>
        <w:rPr>
          <w:rFonts w:cs="Arial"/>
          <w:szCs w:val="24"/>
          <w:lang w:val="en-US" w:eastAsia="en-GB"/>
        </w:rPr>
      </w:pPr>
    </w:p>
    <w:tbl>
      <w:tblPr>
        <w:tblW w:w="8635" w:type="dxa"/>
        <w:tblCellMar>
          <w:left w:w="10" w:type="dxa"/>
          <w:right w:w="10" w:type="dxa"/>
        </w:tblCellMar>
        <w:tblLook w:val="04A0" w:firstRow="1" w:lastRow="0" w:firstColumn="1" w:lastColumn="0" w:noHBand="0" w:noVBand="1"/>
      </w:tblPr>
      <w:tblGrid>
        <w:gridCol w:w="3369"/>
        <w:gridCol w:w="3196"/>
        <w:gridCol w:w="2070"/>
      </w:tblGrid>
      <w:tr w:rsidR="007F1F83" w14:paraId="24CA5520" w14:textId="77777777" w:rsidTr="00266D28">
        <w:trPr>
          <w:tblHeader/>
        </w:trPr>
        <w:tc>
          <w:tcPr>
            <w:tcW w:w="3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5A23CF" w14:textId="77777777" w:rsidR="007F1F83" w:rsidRDefault="007F1F83" w:rsidP="00266D28">
            <w:pPr>
              <w:spacing w:line="247" w:lineRule="auto"/>
              <w:ind w:right="141"/>
              <w:rPr>
                <w:rFonts w:cs="Arial"/>
                <w:b/>
                <w:bCs/>
                <w:szCs w:val="24"/>
                <w:lang w:val="en-US" w:eastAsia="en-GB"/>
              </w:rPr>
            </w:pPr>
            <w:r>
              <w:rPr>
                <w:rFonts w:cs="Arial"/>
                <w:b/>
                <w:bCs/>
                <w:szCs w:val="24"/>
                <w:lang w:val="en-US" w:eastAsia="en-GB"/>
              </w:rPr>
              <w:t>Risk Description</w:t>
            </w:r>
          </w:p>
        </w:tc>
        <w:tc>
          <w:tcPr>
            <w:tcW w:w="3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1CA21B" w14:textId="77777777" w:rsidR="007F1F83" w:rsidRDefault="007F1F83" w:rsidP="00266D28">
            <w:pPr>
              <w:spacing w:line="247" w:lineRule="auto"/>
              <w:ind w:right="141"/>
              <w:rPr>
                <w:rFonts w:cs="Arial"/>
                <w:b/>
                <w:bCs/>
                <w:szCs w:val="24"/>
                <w:lang w:val="en-US" w:eastAsia="en-GB"/>
              </w:rPr>
            </w:pPr>
            <w:r>
              <w:rPr>
                <w:rFonts w:cs="Arial"/>
                <w:b/>
                <w:bCs/>
                <w:szCs w:val="24"/>
                <w:lang w:val="en-US" w:eastAsia="en-GB"/>
              </w:rPr>
              <w:t>Mitigations</w:t>
            </w:r>
          </w:p>
        </w:tc>
        <w:tc>
          <w:tcPr>
            <w:tcW w:w="2070" w:type="dxa"/>
            <w:tcBorders>
              <w:top w:val="single" w:sz="4" w:space="0" w:color="000000"/>
              <w:left w:val="single" w:sz="4" w:space="0" w:color="000000"/>
              <w:bottom w:val="single" w:sz="4" w:space="0" w:color="000000"/>
              <w:right w:val="single" w:sz="4" w:space="0" w:color="000000"/>
            </w:tcBorders>
            <w:vAlign w:val="center"/>
            <w:hideMark/>
          </w:tcPr>
          <w:p w14:paraId="05839A7D" w14:textId="77777777" w:rsidR="007F1F83" w:rsidRDefault="007F1F83" w:rsidP="00266D28">
            <w:pPr>
              <w:spacing w:line="247" w:lineRule="auto"/>
              <w:ind w:left="171" w:right="141"/>
              <w:rPr>
                <w:rFonts w:cs="Arial"/>
                <w:b/>
                <w:bCs/>
                <w:szCs w:val="24"/>
                <w:lang w:val="en-US" w:eastAsia="en-GB"/>
              </w:rPr>
            </w:pPr>
            <w:r>
              <w:rPr>
                <w:rFonts w:cs="Arial"/>
                <w:b/>
                <w:bCs/>
                <w:szCs w:val="24"/>
                <w:lang w:val="en-US" w:eastAsia="en-GB"/>
              </w:rPr>
              <w:t>RAG Status</w:t>
            </w:r>
          </w:p>
        </w:tc>
      </w:tr>
      <w:tr w:rsidR="007F1F83" w14:paraId="5BC4B38D" w14:textId="77777777" w:rsidTr="00266D28">
        <w:tc>
          <w:tcPr>
            <w:tcW w:w="3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306A72" w14:textId="77777777" w:rsidR="007F1F83" w:rsidRDefault="007F1F83" w:rsidP="00266D28">
            <w:pPr>
              <w:spacing w:line="247" w:lineRule="auto"/>
              <w:ind w:right="141"/>
              <w:rPr>
                <w:rFonts w:cs="Arial"/>
                <w:szCs w:val="24"/>
                <w:lang w:val="en-US" w:eastAsia="en-GB"/>
              </w:rPr>
            </w:pPr>
            <w:r>
              <w:rPr>
                <w:rFonts w:cs="Arial"/>
                <w:szCs w:val="24"/>
                <w:lang w:val="en-US" w:eastAsia="en-GB"/>
              </w:rPr>
              <w:t>Reputational Risk to the Council – schools refuse the increase and to accept pupils with SEND</w:t>
            </w:r>
          </w:p>
        </w:tc>
        <w:tc>
          <w:tcPr>
            <w:tcW w:w="3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704545" w14:textId="77777777" w:rsidR="007F1F83" w:rsidRPr="00E6619D" w:rsidRDefault="007F1F83" w:rsidP="007F1F83">
            <w:pPr>
              <w:pStyle w:val="ListParagraph"/>
              <w:numPr>
                <w:ilvl w:val="0"/>
                <w:numId w:val="14"/>
              </w:numPr>
              <w:suppressAutoHyphens/>
              <w:autoSpaceDN w:val="0"/>
              <w:spacing w:line="247" w:lineRule="auto"/>
              <w:ind w:left="64" w:right="141" w:hanging="142"/>
              <w:rPr>
                <w:szCs w:val="24"/>
                <w:lang w:val="en-US"/>
              </w:rPr>
            </w:pPr>
            <w:r w:rsidRPr="00E6619D">
              <w:rPr>
                <w:szCs w:val="24"/>
                <w:lang w:val="en-US"/>
              </w:rPr>
              <w:t>Secure an interim increase as proposed in this report.</w:t>
            </w:r>
          </w:p>
        </w:tc>
        <w:tc>
          <w:tcPr>
            <w:tcW w:w="2070" w:type="dxa"/>
            <w:tcBorders>
              <w:top w:val="single" w:sz="4" w:space="0" w:color="000000"/>
              <w:left w:val="single" w:sz="4" w:space="0" w:color="000000"/>
              <w:bottom w:val="single" w:sz="4" w:space="0" w:color="000000"/>
              <w:right w:val="single" w:sz="4" w:space="0" w:color="000000"/>
            </w:tcBorders>
            <w:shd w:val="clear" w:color="auto" w:fill="FFC000"/>
            <w:vAlign w:val="center"/>
            <w:hideMark/>
          </w:tcPr>
          <w:p w14:paraId="231E4834" w14:textId="50E6F6E9" w:rsidR="007F1F83" w:rsidRPr="00292C61" w:rsidRDefault="00A8512C" w:rsidP="00266D28">
            <w:pPr>
              <w:spacing w:line="247" w:lineRule="auto"/>
              <w:ind w:left="55" w:right="141"/>
              <w:jc w:val="center"/>
              <w:rPr>
                <w:rFonts w:cs="Arial"/>
                <w:b/>
                <w:bCs/>
                <w:szCs w:val="24"/>
                <w:lang w:val="en-US" w:eastAsia="en-GB"/>
              </w:rPr>
            </w:pPr>
            <w:r w:rsidRPr="00292C61">
              <w:rPr>
                <w:rFonts w:cs="Arial"/>
                <w:b/>
                <w:bCs/>
                <w:szCs w:val="24"/>
                <w:lang w:val="en-US" w:eastAsia="en-GB"/>
              </w:rPr>
              <w:t>Amber</w:t>
            </w:r>
          </w:p>
        </w:tc>
      </w:tr>
      <w:tr w:rsidR="007F1F83" w14:paraId="2FD85E23" w14:textId="77777777" w:rsidTr="00266D28">
        <w:tc>
          <w:tcPr>
            <w:tcW w:w="3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4DC29C" w14:textId="77777777" w:rsidR="007F1F83" w:rsidRDefault="007F1F83" w:rsidP="00266D28">
            <w:pPr>
              <w:spacing w:line="247" w:lineRule="auto"/>
              <w:ind w:right="141"/>
              <w:rPr>
                <w:rFonts w:cs="Arial"/>
                <w:szCs w:val="24"/>
                <w:lang w:val="en-US" w:eastAsia="en-GB"/>
              </w:rPr>
            </w:pPr>
            <w:r>
              <w:rPr>
                <w:rFonts w:cs="Arial"/>
                <w:szCs w:val="24"/>
                <w:lang w:val="en-US" w:eastAsia="en-GB"/>
              </w:rPr>
              <w:t>Increase deficit on the HNB</w:t>
            </w:r>
          </w:p>
        </w:tc>
        <w:tc>
          <w:tcPr>
            <w:tcW w:w="3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2FB7A8" w14:textId="77777777" w:rsidR="007F1F83" w:rsidRPr="00337851" w:rsidRDefault="007F1F83" w:rsidP="007F1F83">
            <w:pPr>
              <w:pStyle w:val="ListParagraph"/>
              <w:numPr>
                <w:ilvl w:val="0"/>
                <w:numId w:val="14"/>
              </w:numPr>
              <w:suppressAutoHyphens/>
              <w:autoSpaceDN w:val="0"/>
              <w:spacing w:line="247" w:lineRule="auto"/>
              <w:ind w:left="64" w:right="141" w:hanging="142"/>
              <w:rPr>
                <w:szCs w:val="24"/>
                <w:lang w:val="en-US"/>
              </w:rPr>
            </w:pPr>
            <w:r w:rsidRPr="00337851">
              <w:rPr>
                <w:szCs w:val="24"/>
                <w:lang w:val="en-US"/>
              </w:rPr>
              <w:t>Increasing provision in Harrow to reduce reliance on out borough placements</w:t>
            </w:r>
          </w:p>
        </w:tc>
        <w:tc>
          <w:tcPr>
            <w:tcW w:w="207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9A591D5" w14:textId="25C5FDE0" w:rsidR="007F1F83" w:rsidRPr="00292C61" w:rsidRDefault="00A8512C" w:rsidP="00266D28">
            <w:pPr>
              <w:spacing w:line="247" w:lineRule="auto"/>
              <w:ind w:left="55" w:right="141"/>
              <w:jc w:val="center"/>
              <w:rPr>
                <w:rFonts w:cs="Arial"/>
                <w:b/>
                <w:bCs/>
                <w:szCs w:val="24"/>
                <w:lang w:val="en-US" w:eastAsia="en-GB"/>
              </w:rPr>
            </w:pPr>
            <w:r w:rsidRPr="00292C61">
              <w:rPr>
                <w:rFonts w:cs="Arial"/>
                <w:b/>
                <w:bCs/>
                <w:szCs w:val="24"/>
                <w:lang w:val="en-US" w:eastAsia="en-GB"/>
              </w:rPr>
              <w:t>Amber</w:t>
            </w:r>
          </w:p>
        </w:tc>
      </w:tr>
    </w:tbl>
    <w:p w14:paraId="49370363" w14:textId="77777777" w:rsidR="00114AB9" w:rsidRPr="00192F10" w:rsidRDefault="00114AB9" w:rsidP="009B4288">
      <w:pPr>
        <w:pStyle w:val="Heading3"/>
        <w:spacing w:before="480"/>
      </w:pPr>
      <w:r w:rsidRPr="00192F10">
        <w:t xml:space="preserve">Procurement Implications </w:t>
      </w:r>
    </w:p>
    <w:p w14:paraId="5921D140" w14:textId="7F08CB94" w:rsidR="00114AB9" w:rsidRPr="009A2084" w:rsidRDefault="009A2084">
      <w:pPr>
        <w:pStyle w:val="ListParagraph"/>
        <w:numPr>
          <w:ilvl w:val="0"/>
          <w:numId w:val="1"/>
        </w:numPr>
        <w:spacing w:before="240"/>
        <w:ind w:left="567" w:hanging="567"/>
      </w:pPr>
      <w:r w:rsidRPr="009A2084">
        <w:t xml:space="preserve">There are no procurement implications in this report. </w:t>
      </w:r>
    </w:p>
    <w:p w14:paraId="016576D2" w14:textId="77777777" w:rsidR="00C84140" w:rsidRDefault="00C84140" w:rsidP="00EC1288">
      <w:pPr>
        <w:pStyle w:val="Heading3"/>
        <w:keepNext/>
      </w:pPr>
      <w:r>
        <w:t>Legal Implications</w:t>
      </w:r>
    </w:p>
    <w:p w14:paraId="76806315" w14:textId="2A693D32" w:rsidR="00130C3B" w:rsidRDefault="00DB37B0" w:rsidP="0065166E">
      <w:pPr>
        <w:pStyle w:val="Heading4"/>
        <w:numPr>
          <w:ilvl w:val="0"/>
          <w:numId w:val="1"/>
        </w:numPr>
        <w:ind w:left="567" w:hanging="567"/>
        <w:rPr>
          <w:b w:val="0"/>
          <w:bCs/>
          <w:szCs w:val="24"/>
        </w:rPr>
      </w:pPr>
      <w:r>
        <w:rPr>
          <w:b w:val="0"/>
          <w:bCs/>
          <w:szCs w:val="24"/>
        </w:rPr>
        <w:t>T</w:t>
      </w:r>
      <w:r w:rsidR="0098257D" w:rsidRPr="00EC1288">
        <w:rPr>
          <w:b w:val="0"/>
          <w:bCs/>
          <w:szCs w:val="24"/>
        </w:rPr>
        <w:t>he Children and Families Act 2014 defines Special Educational Needs and Disability (SEND) in the following way:</w:t>
      </w:r>
    </w:p>
    <w:p w14:paraId="0FA61845" w14:textId="77777777" w:rsidR="00EC1288" w:rsidRPr="00EC1288" w:rsidRDefault="00EC1288" w:rsidP="0065166E">
      <w:pPr>
        <w:ind w:left="567" w:hanging="567"/>
      </w:pPr>
    </w:p>
    <w:p w14:paraId="346D7D3B" w14:textId="3EF0AD1E" w:rsidR="00EF376B" w:rsidRPr="00EC1288" w:rsidRDefault="00EF376B" w:rsidP="00711406">
      <w:pPr>
        <w:pStyle w:val="ListParagraph"/>
        <w:shd w:val="clear" w:color="auto" w:fill="FFFFFF"/>
        <w:ind w:left="567"/>
        <w:textAlignment w:val="baseline"/>
        <w:rPr>
          <w:rFonts w:cs="Arial"/>
          <w:color w:val="3D3D3D"/>
          <w:szCs w:val="24"/>
          <w:lang w:eastAsia="en-GB"/>
        </w:rPr>
      </w:pPr>
      <w:r w:rsidRPr="00EC1288">
        <w:rPr>
          <w:rFonts w:cs="Arial"/>
          <w:color w:val="3D3D3D"/>
          <w:szCs w:val="24"/>
          <w:lang w:eastAsia="en-GB"/>
        </w:rPr>
        <w:t>A child or young person has special educational needs if he or she has a learning difficulty or disability which calls for special educational provision to be made for him or her.</w:t>
      </w:r>
    </w:p>
    <w:p w14:paraId="331B77F1" w14:textId="77777777" w:rsidR="00EC1288" w:rsidRPr="00EC1288" w:rsidRDefault="00EC1288" w:rsidP="0065166E">
      <w:pPr>
        <w:shd w:val="clear" w:color="auto" w:fill="FFFFFF"/>
        <w:ind w:left="567" w:hanging="567"/>
        <w:textAlignment w:val="baseline"/>
        <w:rPr>
          <w:rFonts w:cs="Arial"/>
          <w:color w:val="3D3D3D"/>
          <w:szCs w:val="24"/>
          <w:lang w:eastAsia="en-GB"/>
        </w:rPr>
      </w:pPr>
    </w:p>
    <w:p w14:paraId="676A0AC3" w14:textId="4CC80645" w:rsidR="00EF376B" w:rsidRPr="00EC1288" w:rsidRDefault="00EF376B" w:rsidP="0065166E">
      <w:pPr>
        <w:pStyle w:val="ListParagraph"/>
        <w:shd w:val="clear" w:color="auto" w:fill="FFFFFF"/>
        <w:ind w:left="993" w:hanging="426"/>
        <w:textAlignment w:val="baseline"/>
        <w:rPr>
          <w:rFonts w:cs="Arial"/>
          <w:color w:val="3D3D3D"/>
          <w:szCs w:val="24"/>
          <w:lang w:eastAsia="en-GB"/>
        </w:rPr>
      </w:pPr>
      <w:r w:rsidRPr="00EC1288">
        <w:rPr>
          <w:rFonts w:cs="Arial"/>
          <w:color w:val="3D3D3D"/>
          <w:szCs w:val="24"/>
          <w:lang w:eastAsia="en-GB"/>
        </w:rPr>
        <w:t>(2)</w:t>
      </w:r>
      <w:r w:rsidR="00711406">
        <w:rPr>
          <w:rFonts w:cs="Arial"/>
          <w:color w:val="3D3D3D"/>
          <w:szCs w:val="24"/>
          <w:lang w:eastAsia="en-GB"/>
        </w:rPr>
        <w:tab/>
      </w:r>
      <w:r w:rsidRPr="00EC1288">
        <w:rPr>
          <w:rFonts w:cs="Arial"/>
          <w:color w:val="3D3D3D"/>
          <w:szCs w:val="24"/>
          <w:lang w:eastAsia="en-GB"/>
        </w:rPr>
        <w:t>A child of compulsory school age or a young person has a learning difficulty or disability if he or she—</w:t>
      </w:r>
    </w:p>
    <w:p w14:paraId="6A2BBBDF" w14:textId="668774A9" w:rsidR="00EF376B" w:rsidRPr="00DB37B0" w:rsidRDefault="00EF376B" w:rsidP="00711406">
      <w:pPr>
        <w:shd w:val="clear" w:color="auto" w:fill="FFFFFF"/>
        <w:ind w:left="1418" w:hanging="425"/>
        <w:textAlignment w:val="baseline"/>
        <w:rPr>
          <w:rFonts w:cs="Arial"/>
          <w:color w:val="3D3D3D"/>
          <w:szCs w:val="24"/>
          <w:lang w:eastAsia="en-GB"/>
        </w:rPr>
      </w:pPr>
      <w:r w:rsidRPr="00DB37B0">
        <w:rPr>
          <w:rFonts w:cs="Arial"/>
          <w:color w:val="3D3D3D"/>
          <w:szCs w:val="24"/>
          <w:lang w:eastAsia="en-GB"/>
        </w:rPr>
        <w:t>(a)</w:t>
      </w:r>
      <w:r w:rsidR="007F1F83">
        <w:rPr>
          <w:rFonts w:cs="Arial"/>
          <w:color w:val="3D3D3D"/>
          <w:szCs w:val="24"/>
          <w:lang w:eastAsia="en-GB"/>
        </w:rPr>
        <w:tab/>
      </w:r>
      <w:r w:rsidRPr="00DB37B0">
        <w:rPr>
          <w:rFonts w:cs="Arial"/>
          <w:color w:val="3D3D3D"/>
          <w:szCs w:val="24"/>
          <w:lang w:eastAsia="en-GB"/>
        </w:rPr>
        <w:t>has a significantly greater difficulty in learning than the majority of others of the same age, or</w:t>
      </w:r>
    </w:p>
    <w:p w14:paraId="433F1C71" w14:textId="09569118" w:rsidR="00553B8C" w:rsidRDefault="00EF376B" w:rsidP="00711406">
      <w:pPr>
        <w:shd w:val="clear" w:color="auto" w:fill="FFFFFF"/>
        <w:ind w:left="1418" w:hanging="425"/>
        <w:textAlignment w:val="baseline"/>
      </w:pPr>
      <w:r w:rsidRPr="00EC1288">
        <w:rPr>
          <w:rFonts w:cs="Arial"/>
          <w:color w:val="3D3D3D"/>
          <w:szCs w:val="24"/>
          <w:lang w:eastAsia="en-GB"/>
        </w:rPr>
        <w:t>(b)</w:t>
      </w:r>
      <w:r w:rsidR="007F1F83">
        <w:rPr>
          <w:rFonts w:cs="Arial"/>
          <w:color w:val="3D3D3D"/>
          <w:szCs w:val="24"/>
          <w:lang w:eastAsia="en-GB"/>
        </w:rPr>
        <w:tab/>
      </w:r>
      <w:r w:rsidRPr="00EC1288">
        <w:rPr>
          <w:rFonts w:cs="Arial"/>
          <w:color w:val="3D3D3D"/>
          <w:szCs w:val="24"/>
          <w:lang w:eastAsia="en-GB"/>
        </w:rPr>
        <w:t>has a disability which prevents or hinders him or her from making use of facilities of a kind generally provided for others of the same age in mainstream schools or mainstream post-16 institutions.</w:t>
      </w:r>
    </w:p>
    <w:p w14:paraId="5258A3F2" w14:textId="77777777" w:rsidR="0036777C" w:rsidRPr="0036777C" w:rsidRDefault="0036777C" w:rsidP="0065166E">
      <w:pPr>
        <w:ind w:left="567" w:hanging="567"/>
      </w:pPr>
    </w:p>
    <w:p w14:paraId="21E119EA" w14:textId="50B295BA" w:rsidR="00C1713A" w:rsidRPr="00EC1288" w:rsidRDefault="0098257D" w:rsidP="0065166E">
      <w:pPr>
        <w:pStyle w:val="Heading4"/>
        <w:numPr>
          <w:ilvl w:val="0"/>
          <w:numId w:val="1"/>
        </w:numPr>
        <w:ind w:left="567" w:hanging="567"/>
        <w:rPr>
          <w:b w:val="0"/>
          <w:bCs/>
        </w:rPr>
      </w:pPr>
      <w:r w:rsidRPr="00EC1288">
        <w:rPr>
          <w:b w:val="0"/>
          <w:bCs/>
        </w:rPr>
        <w:t>The legal duties introduced in The Children and Families Act 2014 place responsibilities on the local area partnership (the local authority, health partners, settings, schools and colleges) to identify and meet the needs of children aged 0-25 who have SEND. How the Act should be interpreted is set out in the SEND Code of Practice 2015. The duties and reforms to the SEND system introduced in 2014 aspire to achieve an integrated 0-25 system spanning education, health and care, driven by high ambition and preparation for adulthood.</w:t>
      </w:r>
    </w:p>
    <w:p w14:paraId="7EA52D7E" w14:textId="77777777" w:rsidR="00E85C45" w:rsidRPr="006029B5" w:rsidRDefault="00E85C45" w:rsidP="00E85C45">
      <w:pPr>
        <w:rPr>
          <w:bCs/>
        </w:rPr>
      </w:pPr>
    </w:p>
    <w:p w14:paraId="0969880B" w14:textId="59621D10" w:rsidR="00E85C45" w:rsidRPr="00EC1288" w:rsidRDefault="00E85C45" w:rsidP="0065166E">
      <w:pPr>
        <w:pStyle w:val="ListParagraph"/>
        <w:numPr>
          <w:ilvl w:val="0"/>
          <w:numId w:val="1"/>
        </w:numPr>
        <w:ind w:left="567" w:hanging="567"/>
        <w:rPr>
          <w:bCs/>
        </w:rPr>
      </w:pPr>
      <w:r w:rsidRPr="00EC1288">
        <w:rPr>
          <w:bCs/>
        </w:rPr>
        <w:t xml:space="preserve">The High Needs Block supports certain provision for children and young people with special education need and disabilities (SEND). The High Needs Block also provides the resources for place funding; top-up funding for institutions and funding for high need services delivered by the local authority. It is the responsibility of the local authority to propose </w:t>
      </w:r>
      <w:r w:rsidRPr="00EC1288">
        <w:rPr>
          <w:bCs/>
        </w:rPr>
        <w:lastRenderedPageBreak/>
        <w:t>and decide the allocation of High Needs Block funding. The School</w:t>
      </w:r>
      <w:r w:rsidR="00A8512C">
        <w:rPr>
          <w:bCs/>
        </w:rPr>
        <w:t>’</w:t>
      </w:r>
      <w:r w:rsidRPr="00EC1288">
        <w:rPr>
          <w:bCs/>
        </w:rPr>
        <w:t>s Forum is consulted on any proposed changes and informs the governing bodies of all consultations.</w:t>
      </w:r>
    </w:p>
    <w:p w14:paraId="75F8499B" w14:textId="77777777" w:rsidR="00AD78B8" w:rsidRPr="006029B5" w:rsidRDefault="00AD78B8" w:rsidP="0065166E">
      <w:pPr>
        <w:ind w:left="567" w:hanging="567"/>
        <w:rPr>
          <w:bCs/>
        </w:rPr>
      </w:pPr>
    </w:p>
    <w:p w14:paraId="324ADA37" w14:textId="59FBFE92" w:rsidR="00AD78B8" w:rsidRPr="00BF7C9D" w:rsidRDefault="001D1DD8" w:rsidP="0065166E">
      <w:pPr>
        <w:pStyle w:val="ListParagraph"/>
        <w:numPr>
          <w:ilvl w:val="0"/>
          <w:numId w:val="1"/>
        </w:numPr>
        <w:shd w:val="clear" w:color="auto" w:fill="FFFFFF"/>
        <w:ind w:left="567" w:hanging="567"/>
        <w:textAlignment w:val="baseline"/>
        <w:rPr>
          <w:rFonts w:cs="Arial"/>
          <w:color w:val="3D3D3D"/>
          <w:szCs w:val="24"/>
          <w:lang w:eastAsia="en-GB"/>
        </w:rPr>
      </w:pPr>
      <w:r w:rsidRPr="00BF7C9D">
        <w:rPr>
          <w:rFonts w:cs="Arial"/>
          <w:color w:val="3D3D3D"/>
          <w:szCs w:val="24"/>
          <w:lang w:eastAsia="en-GB"/>
        </w:rPr>
        <w:t xml:space="preserve">Under the </w:t>
      </w:r>
      <w:r w:rsidRPr="00EC1288">
        <w:rPr>
          <w:bCs/>
          <w:szCs w:val="24"/>
        </w:rPr>
        <w:t>School Standards and Framework Act 1998 e</w:t>
      </w:r>
      <w:r w:rsidR="00AD78B8" w:rsidRPr="00BF7C9D">
        <w:rPr>
          <w:rFonts w:cs="Arial"/>
          <w:color w:val="3D3D3D"/>
          <w:szCs w:val="24"/>
          <w:lang w:eastAsia="en-GB"/>
        </w:rPr>
        <w:t>very local authority</w:t>
      </w:r>
      <w:r w:rsidR="00A00CDC" w:rsidRPr="00BF7C9D">
        <w:rPr>
          <w:rFonts w:cs="Arial"/>
          <w:color w:val="3D3D3D"/>
          <w:szCs w:val="24"/>
          <w:bdr w:val="none" w:sz="0" w:space="0" w:color="auto" w:frame="1"/>
          <w:lang w:eastAsia="en-GB"/>
        </w:rPr>
        <w:t xml:space="preserve"> </w:t>
      </w:r>
      <w:r w:rsidR="00AD78B8" w:rsidRPr="00BF7C9D">
        <w:rPr>
          <w:rFonts w:cs="Arial"/>
          <w:color w:val="3D3D3D"/>
          <w:szCs w:val="24"/>
          <w:lang w:eastAsia="en-GB"/>
        </w:rPr>
        <w:t xml:space="preserve">must, in accordance with regulations, establish for their area a body to be known as a </w:t>
      </w:r>
      <w:r w:rsidR="00A8512C" w:rsidRPr="00BF7C9D">
        <w:rPr>
          <w:rFonts w:cs="Arial"/>
          <w:color w:val="3D3D3D"/>
          <w:szCs w:val="24"/>
          <w:lang w:eastAsia="en-GB"/>
        </w:rPr>
        <w:t>schools’</w:t>
      </w:r>
      <w:r w:rsidR="00AD78B8" w:rsidRPr="00BF7C9D">
        <w:rPr>
          <w:rFonts w:cs="Arial"/>
          <w:color w:val="3D3D3D"/>
          <w:szCs w:val="24"/>
          <w:lang w:eastAsia="en-GB"/>
        </w:rPr>
        <w:t xml:space="preserve"> forum.</w:t>
      </w:r>
    </w:p>
    <w:p w14:paraId="7CA23643" w14:textId="55594572" w:rsidR="00AD78B8" w:rsidRPr="001D1DD8" w:rsidRDefault="00AD78B8" w:rsidP="0065166E">
      <w:pPr>
        <w:ind w:left="567" w:hanging="567"/>
        <w:rPr>
          <w:rFonts w:ascii="Times New Roman" w:hAnsi="Times New Roman"/>
          <w:szCs w:val="24"/>
          <w:lang w:eastAsia="en-GB"/>
        </w:rPr>
      </w:pPr>
    </w:p>
    <w:p w14:paraId="2C13C799" w14:textId="2A38273D" w:rsidR="00AD78B8" w:rsidRPr="0065166E" w:rsidRDefault="00AD78B8" w:rsidP="0065166E">
      <w:pPr>
        <w:pStyle w:val="ListParagraph"/>
        <w:numPr>
          <w:ilvl w:val="0"/>
          <w:numId w:val="1"/>
        </w:numPr>
        <w:shd w:val="clear" w:color="auto" w:fill="FFFFFF"/>
        <w:ind w:left="567" w:hanging="567"/>
        <w:textAlignment w:val="baseline"/>
        <w:rPr>
          <w:rFonts w:cs="Arial"/>
          <w:color w:val="3D3D3D"/>
          <w:szCs w:val="24"/>
          <w:lang w:eastAsia="en-GB"/>
        </w:rPr>
      </w:pPr>
      <w:r w:rsidRPr="0065166E">
        <w:rPr>
          <w:rFonts w:cs="Arial"/>
          <w:color w:val="3D3D3D"/>
          <w:szCs w:val="24"/>
          <w:lang w:eastAsia="en-GB"/>
        </w:rPr>
        <w:t xml:space="preserve">The purpose of a </w:t>
      </w:r>
      <w:r w:rsidR="00A8512C" w:rsidRPr="0065166E">
        <w:rPr>
          <w:rFonts w:cs="Arial"/>
          <w:color w:val="3D3D3D"/>
          <w:szCs w:val="24"/>
          <w:lang w:eastAsia="en-GB"/>
        </w:rPr>
        <w:t>schools’</w:t>
      </w:r>
      <w:r w:rsidRPr="0065166E">
        <w:rPr>
          <w:rFonts w:cs="Arial"/>
          <w:color w:val="3D3D3D"/>
          <w:szCs w:val="24"/>
          <w:lang w:eastAsia="en-GB"/>
        </w:rPr>
        <w:t xml:space="preserve"> forum is–</w:t>
      </w:r>
      <w:r w:rsidR="0065166E" w:rsidRPr="000E1542">
        <w:rPr>
          <w:rFonts w:cs="Arial"/>
          <w:color w:val="3D3D3D"/>
          <w:szCs w:val="24"/>
          <w:lang w:eastAsia="en-GB"/>
        </w:rPr>
        <w:t xml:space="preserve"> </w:t>
      </w:r>
      <w:r w:rsidRPr="0065166E">
        <w:rPr>
          <w:rFonts w:cs="Arial"/>
          <w:color w:val="3D3D3D"/>
          <w:szCs w:val="24"/>
          <w:lang w:eastAsia="en-GB"/>
        </w:rPr>
        <w:t>to advise the relevant authority on such matters relating to the authority's schools budget as may be prescribed by regulations</w:t>
      </w:r>
      <w:r w:rsidR="00A00CDC" w:rsidRPr="0065166E">
        <w:rPr>
          <w:rFonts w:cs="Arial"/>
          <w:color w:val="3D3D3D"/>
          <w:szCs w:val="24"/>
          <w:lang w:eastAsia="en-GB"/>
        </w:rPr>
        <w:t>.</w:t>
      </w:r>
      <w:r w:rsidRPr="0065166E">
        <w:rPr>
          <w:rFonts w:cs="Arial"/>
          <w:color w:val="3D3D3D"/>
          <w:szCs w:val="24"/>
          <w:lang w:eastAsia="en-GB"/>
        </w:rPr>
        <w:t xml:space="preserve"> </w:t>
      </w:r>
    </w:p>
    <w:p w14:paraId="2DD7F315" w14:textId="77777777" w:rsidR="0098257D" w:rsidRPr="00EC1288" w:rsidRDefault="0098257D" w:rsidP="0065166E">
      <w:pPr>
        <w:pStyle w:val="Heading4"/>
        <w:ind w:left="567" w:hanging="567"/>
        <w:rPr>
          <w:b w:val="0"/>
          <w:bCs/>
        </w:rPr>
      </w:pPr>
    </w:p>
    <w:p w14:paraId="3F40888B" w14:textId="37CB5657" w:rsidR="0098257D" w:rsidRPr="00EC1288" w:rsidRDefault="00AE219B" w:rsidP="0065166E">
      <w:pPr>
        <w:pStyle w:val="Heading4"/>
        <w:numPr>
          <w:ilvl w:val="0"/>
          <w:numId w:val="1"/>
        </w:numPr>
        <w:ind w:left="567" w:hanging="567"/>
        <w:rPr>
          <w:b w:val="0"/>
          <w:bCs/>
        </w:rPr>
      </w:pPr>
      <w:r w:rsidRPr="00EC1288">
        <w:rPr>
          <w:b w:val="0"/>
          <w:bCs/>
        </w:rPr>
        <w:t>Schedule 2 of The School and Early Years Finance (England) Regulations permits a local authority to use high needs funding to provide additional or targeted support for children and young people with special educational needs and disabilities.</w:t>
      </w:r>
    </w:p>
    <w:p w14:paraId="496C3420" w14:textId="77777777" w:rsidR="0098257D" w:rsidRPr="00EC1288" w:rsidRDefault="0098257D" w:rsidP="0065166E">
      <w:pPr>
        <w:pStyle w:val="Heading4"/>
        <w:ind w:left="567" w:hanging="567"/>
        <w:rPr>
          <w:b w:val="0"/>
          <w:bCs/>
        </w:rPr>
      </w:pPr>
    </w:p>
    <w:p w14:paraId="4EAC12AB" w14:textId="6C5F7B23" w:rsidR="00C1713A" w:rsidRDefault="00C1713A" w:rsidP="0065166E">
      <w:pPr>
        <w:pStyle w:val="Heading4"/>
        <w:numPr>
          <w:ilvl w:val="0"/>
          <w:numId w:val="1"/>
        </w:numPr>
        <w:ind w:left="567" w:hanging="567"/>
        <w:rPr>
          <w:b w:val="0"/>
          <w:bCs/>
        </w:rPr>
      </w:pPr>
      <w:r w:rsidRPr="00EC1288">
        <w:rPr>
          <w:b w:val="0"/>
          <w:bCs/>
        </w:rPr>
        <w:t xml:space="preserve">Sections 45-53 of the School Standards and Framework Act 1998 sets out the funding framework governing schools finance. </w:t>
      </w:r>
    </w:p>
    <w:p w14:paraId="76C4E923" w14:textId="77777777" w:rsidR="00FA7EB7" w:rsidRDefault="00FA7EB7" w:rsidP="0065166E">
      <w:pPr>
        <w:ind w:left="567" w:hanging="567"/>
      </w:pPr>
    </w:p>
    <w:p w14:paraId="528A4A2A" w14:textId="1FD98042" w:rsidR="00AE7879" w:rsidRPr="00A8512C" w:rsidRDefault="00AE7879" w:rsidP="00711406">
      <w:pPr>
        <w:pStyle w:val="NormalWeb"/>
        <w:numPr>
          <w:ilvl w:val="0"/>
          <w:numId w:val="1"/>
        </w:numPr>
        <w:spacing w:before="0" w:beforeAutospacing="0" w:after="0"/>
        <w:ind w:left="567" w:hanging="567"/>
        <w:rPr>
          <w:rFonts w:ascii="Arial" w:hAnsi="Arial" w:cs="Arial"/>
          <w:color w:val="000000"/>
        </w:rPr>
      </w:pPr>
      <w:r w:rsidRPr="0065166E">
        <w:rPr>
          <w:rFonts w:ascii="Arial" w:hAnsi="Arial" w:cs="Arial"/>
          <w:color w:val="000000"/>
        </w:rPr>
        <w:t>The statutory framework for school financing and DSG</w:t>
      </w:r>
      <w:r w:rsidR="00D7148F" w:rsidRPr="0065166E">
        <w:rPr>
          <w:rFonts w:ascii="Arial" w:hAnsi="Arial" w:cs="Arial"/>
          <w:color w:val="000000"/>
        </w:rPr>
        <w:t xml:space="preserve"> is </w:t>
      </w:r>
      <w:r w:rsidR="00992618" w:rsidRPr="0065166E">
        <w:rPr>
          <w:rFonts w:ascii="Arial" w:hAnsi="Arial" w:cs="Arial"/>
          <w:color w:val="000000"/>
        </w:rPr>
        <w:t xml:space="preserve"> set out in t</w:t>
      </w:r>
      <w:r w:rsidR="005756F4" w:rsidRPr="0065166E">
        <w:rPr>
          <w:rFonts w:ascii="Arial" w:hAnsi="Arial" w:cs="Arial"/>
          <w:color w:val="000000"/>
        </w:rPr>
        <w:t xml:space="preserve">he </w:t>
      </w:r>
      <w:hyperlink r:id="rId13" w:history="1">
        <w:r w:rsidRPr="0065166E">
          <w:rPr>
            <w:rStyle w:val="Hyperlink"/>
            <w:rFonts w:ascii="Arial" w:hAnsi="Arial" w:cs="Arial"/>
          </w:rPr>
          <w:t>High needs funding: 2023 to 2024 operational guide - GOV.UK (www.gov.uk)</w:t>
        </w:r>
      </w:hyperlink>
      <w:r w:rsidR="00711406">
        <w:rPr>
          <w:rFonts w:ascii="Arial" w:hAnsi="Arial" w:cs="Arial"/>
          <w:color w:val="000000"/>
        </w:rPr>
        <w:t xml:space="preserve">. </w:t>
      </w:r>
      <w:r w:rsidR="002F375E" w:rsidRPr="0065166E">
        <w:rPr>
          <w:rFonts w:ascii="Arial" w:hAnsi="Arial" w:cs="Arial"/>
          <w:color w:val="000000"/>
        </w:rPr>
        <w:t xml:space="preserve">In particular </w:t>
      </w:r>
      <w:r w:rsidRPr="0065166E">
        <w:rPr>
          <w:rFonts w:ascii="Arial" w:hAnsi="Arial" w:cs="Arial"/>
          <w:color w:val="000000"/>
        </w:rPr>
        <w:t>Sectio</w:t>
      </w:r>
      <w:r w:rsidR="002F375E" w:rsidRPr="0065166E">
        <w:rPr>
          <w:rFonts w:ascii="Arial" w:hAnsi="Arial" w:cs="Arial"/>
          <w:color w:val="000000"/>
        </w:rPr>
        <w:t xml:space="preserve">n </w:t>
      </w:r>
      <w:r w:rsidRPr="0065166E">
        <w:rPr>
          <w:rFonts w:ascii="Arial" w:eastAsia="Times New Roman" w:hAnsi="Arial" w:cs="Arial"/>
          <w:color w:val="000000"/>
        </w:rPr>
        <w:t>6.1 Transfers between blocks of the DSG</w:t>
      </w:r>
    </w:p>
    <w:p w14:paraId="64FF2C69" w14:textId="77777777" w:rsidR="00A8512C" w:rsidRDefault="00A8512C" w:rsidP="00A8512C">
      <w:pPr>
        <w:pStyle w:val="ListParagraph"/>
        <w:rPr>
          <w:rFonts w:cs="Arial"/>
          <w:color w:val="000000"/>
        </w:rPr>
      </w:pPr>
    </w:p>
    <w:p w14:paraId="1E4C14E3" w14:textId="4746184A" w:rsidR="00AE7879" w:rsidRPr="00EC1288" w:rsidRDefault="00AE7879" w:rsidP="00711406">
      <w:pPr>
        <w:pStyle w:val="NormalWeb"/>
        <w:numPr>
          <w:ilvl w:val="0"/>
          <w:numId w:val="1"/>
        </w:numPr>
        <w:ind w:left="567" w:hanging="567"/>
        <w:rPr>
          <w:rFonts w:ascii="Arial" w:eastAsiaTheme="minorHAnsi" w:hAnsi="Arial" w:cs="Arial"/>
          <w:color w:val="000000"/>
        </w:rPr>
      </w:pPr>
      <w:r w:rsidRPr="00EC1288">
        <w:rPr>
          <w:rFonts w:ascii="Arial" w:hAnsi="Arial" w:cs="Arial"/>
          <w:color w:val="000000"/>
        </w:rPr>
        <w:t xml:space="preserve">Transfers between blocks can be made from the high needs and the central school services blocks. Movement from the early years block can be made in compliance with the early years pass through rate conditions, details of which can be found in the </w:t>
      </w:r>
      <w:hyperlink r:id="rId14" w:history="1">
        <w:r w:rsidRPr="00EC1288">
          <w:rPr>
            <w:rStyle w:val="Hyperlink"/>
            <w:rFonts w:ascii="Arial" w:hAnsi="Arial" w:cs="Arial"/>
          </w:rPr>
          <w:t>early years entitlements: local authority funding of providers operational guide</w:t>
        </w:r>
      </w:hyperlink>
      <w:r w:rsidRPr="00EC1288">
        <w:rPr>
          <w:rFonts w:ascii="Arial" w:hAnsi="Arial" w:cs="Arial"/>
          <w:color w:val="000000"/>
        </w:rPr>
        <w:t>. The schools forum must be consulted on all transfers between blocks. The schools block is ringfenced which means that this block must be spent for the purposes specified in the conditions of grant. Local authorities retain the ability to transfer up to 0.5% of funding out of the schools block, with the agreement of the schools forum.</w:t>
      </w:r>
    </w:p>
    <w:p w14:paraId="67CA03F5" w14:textId="77777777" w:rsidR="00AE7879" w:rsidRPr="00EC1288" w:rsidRDefault="00AE7879" w:rsidP="00711406">
      <w:pPr>
        <w:pStyle w:val="NormalWeb"/>
        <w:numPr>
          <w:ilvl w:val="0"/>
          <w:numId w:val="1"/>
        </w:numPr>
        <w:ind w:left="567" w:hanging="567"/>
        <w:rPr>
          <w:rFonts w:ascii="Arial" w:hAnsi="Arial" w:cs="Arial"/>
          <w:color w:val="000000"/>
        </w:rPr>
      </w:pPr>
      <w:r w:rsidRPr="00EC1288">
        <w:rPr>
          <w:rFonts w:ascii="Arial" w:hAnsi="Arial" w:cs="Arial"/>
          <w:color w:val="000000"/>
        </w:rPr>
        <w:t>Formal permission from the Secretary of State (a disapplication of the DSG conditions of grant) will be required for transfers out of the schools block above 0.5%, or any amount without schools forum approval; this applies to any transfers even if approval has been given in previous years. Local authorities should consult with local maintained schools and academies; the schools forum should take these views into account before making their decision.</w:t>
      </w:r>
    </w:p>
    <w:p w14:paraId="37A98C66" w14:textId="71FA0409" w:rsidR="00AE7879" w:rsidRPr="00EC1288" w:rsidRDefault="00AE7879" w:rsidP="00711406">
      <w:pPr>
        <w:pStyle w:val="NormalWeb"/>
        <w:numPr>
          <w:ilvl w:val="0"/>
          <w:numId w:val="1"/>
        </w:numPr>
        <w:ind w:left="567" w:hanging="567"/>
        <w:rPr>
          <w:rFonts w:ascii="Arial" w:hAnsi="Arial" w:cs="Arial"/>
          <w:color w:val="000000"/>
        </w:rPr>
      </w:pPr>
      <w:r w:rsidRPr="00EC1288">
        <w:rPr>
          <w:rFonts w:ascii="Arial" w:hAnsi="Arial" w:cs="Arial"/>
          <w:color w:val="000000"/>
        </w:rPr>
        <w:t xml:space="preserve">The deadline for local authorities to submit a block movement disapplication request is 18 November 2022.Further details, including the disapplication proforma and supporting documentation can be found in the </w:t>
      </w:r>
      <w:hyperlink r:id="rId15" w:history="1">
        <w:r w:rsidRPr="00EC1288">
          <w:rPr>
            <w:rStyle w:val="Hyperlink"/>
            <w:rFonts w:ascii="Arial" w:hAnsi="Arial" w:cs="Arial"/>
          </w:rPr>
          <w:t>movements between blocks section</w:t>
        </w:r>
      </w:hyperlink>
      <w:r w:rsidRPr="00EC1288">
        <w:rPr>
          <w:rFonts w:ascii="Arial" w:hAnsi="Arial" w:cs="Arial"/>
          <w:color w:val="000000"/>
        </w:rPr>
        <w:t xml:space="preserve"> of the </w:t>
      </w:r>
      <w:hyperlink r:id="rId16" w:history="1">
        <w:r w:rsidRPr="00EC1288">
          <w:rPr>
            <w:rStyle w:val="Hyperlink"/>
            <w:rFonts w:ascii="Arial" w:hAnsi="Arial" w:cs="Arial"/>
          </w:rPr>
          <w:t>schools operational guide: 2023 to 2024</w:t>
        </w:r>
      </w:hyperlink>
      <w:r w:rsidRPr="00EC1288">
        <w:rPr>
          <w:rFonts w:ascii="Arial" w:hAnsi="Arial" w:cs="Arial"/>
          <w:color w:val="000000"/>
        </w:rPr>
        <w:t>.</w:t>
      </w:r>
    </w:p>
    <w:p w14:paraId="1BEC7C5C" w14:textId="77777777" w:rsidR="0065166E" w:rsidRDefault="00AE7879" w:rsidP="00711406">
      <w:pPr>
        <w:pStyle w:val="NormalWeb"/>
        <w:numPr>
          <w:ilvl w:val="0"/>
          <w:numId w:val="1"/>
        </w:numPr>
        <w:ind w:left="567" w:hanging="567"/>
        <w:rPr>
          <w:rFonts w:ascii="Arial" w:hAnsi="Arial" w:cs="Arial"/>
          <w:color w:val="000000"/>
          <w:u w:val="single"/>
        </w:rPr>
      </w:pPr>
      <w:r w:rsidRPr="00EC1288">
        <w:rPr>
          <w:rFonts w:ascii="Arial" w:hAnsi="Arial" w:cs="Arial"/>
          <w:color w:val="000000"/>
        </w:rPr>
        <w:lastRenderedPageBreak/>
        <w:t>Most proposals by local authorities to move funding from their schools block arise because of pressures on their high needs budgets. In view of the increases in high needs funding local authorities are continuing to receive, we expect them to carefully consider the impact of these increases when making decisions on block movements.</w:t>
      </w:r>
      <w:r w:rsidRPr="00EC1288">
        <w:rPr>
          <w:rFonts w:ascii="Arial" w:hAnsi="Arial" w:cs="Arial"/>
          <w:color w:val="000000"/>
        </w:rPr>
        <w:br/>
      </w:r>
    </w:p>
    <w:p w14:paraId="7472F9EE" w14:textId="0B50201C" w:rsidR="00AE7879" w:rsidRPr="00EC1288" w:rsidRDefault="003905CA" w:rsidP="0065166E">
      <w:pPr>
        <w:pStyle w:val="NormalWeb"/>
        <w:ind w:left="360"/>
        <w:rPr>
          <w:rFonts w:ascii="Arial" w:hAnsi="Arial" w:cs="Arial"/>
          <w:color w:val="000000"/>
          <w:u w:val="single"/>
        </w:rPr>
      </w:pPr>
      <w:r w:rsidRPr="00EC1288">
        <w:rPr>
          <w:rFonts w:ascii="Arial" w:hAnsi="Arial" w:cs="Arial"/>
          <w:color w:val="000000"/>
          <w:u w:val="single"/>
        </w:rPr>
        <w:t>S</w:t>
      </w:r>
      <w:r w:rsidR="00BD3FB3" w:rsidRPr="00EC1288">
        <w:rPr>
          <w:rFonts w:ascii="Arial" w:hAnsi="Arial" w:cs="Arial"/>
          <w:color w:val="000000"/>
          <w:u w:val="single"/>
        </w:rPr>
        <w:t xml:space="preserve">ection </w:t>
      </w:r>
      <w:r w:rsidR="00AE7879" w:rsidRPr="00EC1288">
        <w:rPr>
          <w:rFonts w:ascii="Arial" w:hAnsi="Arial" w:cs="Arial"/>
          <w:color w:val="000000"/>
          <w:u w:val="single"/>
        </w:rPr>
        <w:t>6.2 - DSG Management Plans</w:t>
      </w:r>
    </w:p>
    <w:p w14:paraId="79EB2641" w14:textId="77777777" w:rsidR="00AE7879" w:rsidRPr="00EC1288" w:rsidRDefault="00AE7879" w:rsidP="00711406">
      <w:pPr>
        <w:pStyle w:val="NormalWeb"/>
        <w:numPr>
          <w:ilvl w:val="0"/>
          <w:numId w:val="1"/>
        </w:numPr>
        <w:ind w:left="567" w:hanging="567"/>
        <w:rPr>
          <w:rFonts w:ascii="Arial" w:hAnsi="Arial" w:cs="Arial"/>
          <w:color w:val="000000"/>
        </w:rPr>
      </w:pPr>
      <w:r w:rsidRPr="00EC1288">
        <w:rPr>
          <w:rFonts w:ascii="Arial" w:hAnsi="Arial" w:cs="Arial"/>
          <w:color w:val="000000"/>
        </w:rPr>
        <w:t xml:space="preserve">A significant number of local authorities have been incurring a deficit on their overall DSG account, largely because of overspends within their high needs block. The </w:t>
      </w:r>
      <w:hyperlink r:id="rId17" w:history="1">
        <w:r w:rsidRPr="00EC1288">
          <w:rPr>
            <w:rStyle w:val="Hyperlink"/>
            <w:rFonts w:ascii="Arial" w:hAnsi="Arial" w:cs="Arial"/>
          </w:rPr>
          <w:t>DSG: conditions of grant</w:t>
        </w:r>
      </w:hyperlink>
      <w:r w:rsidRPr="00EC1288">
        <w:rPr>
          <w:rFonts w:ascii="Arial" w:hAnsi="Arial" w:cs="Arial"/>
          <w:color w:val="000000"/>
        </w:rPr>
        <w:t xml:space="preserve"> set out that any local authority with an overall deficit on its DSG account at the end of the financial year, or whose DSG surplus has substantially reduced during the year, must be able to present a plan to the department and cooperate in handling that situation by:</w:t>
      </w:r>
    </w:p>
    <w:p w14:paraId="4D278320" w14:textId="77777777" w:rsidR="00AE7879" w:rsidRPr="00EC1288" w:rsidRDefault="00AE7879" w:rsidP="00EC1288">
      <w:pPr>
        <w:numPr>
          <w:ilvl w:val="0"/>
          <w:numId w:val="8"/>
        </w:numPr>
        <w:tabs>
          <w:tab w:val="clear" w:pos="720"/>
          <w:tab w:val="num" w:pos="851"/>
        </w:tabs>
        <w:spacing w:before="100" w:beforeAutospacing="1" w:after="100" w:afterAutospacing="1"/>
        <w:ind w:left="851" w:hanging="284"/>
        <w:rPr>
          <w:rFonts w:cs="Arial"/>
          <w:color w:val="000000"/>
          <w:szCs w:val="24"/>
        </w:rPr>
      </w:pPr>
      <w:r w:rsidRPr="00EC1288">
        <w:rPr>
          <w:rFonts w:cs="Arial"/>
          <w:color w:val="000000"/>
          <w:szCs w:val="24"/>
        </w:rPr>
        <w:t>providing information, as and when requested by the department about its plans for managing its DSG account in the 2023 to 2024 financial year and subsequently</w:t>
      </w:r>
    </w:p>
    <w:p w14:paraId="7FDE31AC" w14:textId="77777777" w:rsidR="00AE7879" w:rsidRPr="00EC1288" w:rsidRDefault="00AE7879" w:rsidP="00EC1288">
      <w:pPr>
        <w:numPr>
          <w:ilvl w:val="0"/>
          <w:numId w:val="8"/>
        </w:numPr>
        <w:tabs>
          <w:tab w:val="clear" w:pos="720"/>
          <w:tab w:val="num" w:pos="851"/>
        </w:tabs>
        <w:spacing w:before="100" w:beforeAutospacing="1" w:after="100" w:afterAutospacing="1"/>
        <w:ind w:left="851" w:hanging="284"/>
        <w:rPr>
          <w:rFonts w:cs="Arial"/>
          <w:color w:val="000000"/>
          <w:szCs w:val="24"/>
        </w:rPr>
      </w:pPr>
      <w:r w:rsidRPr="00EC1288">
        <w:rPr>
          <w:rFonts w:cs="Arial"/>
          <w:color w:val="000000"/>
          <w:szCs w:val="24"/>
        </w:rPr>
        <w:t>providing information, as and when requested by the department about pressures and potential savings on its high needs budget</w:t>
      </w:r>
    </w:p>
    <w:p w14:paraId="0A248587" w14:textId="77777777" w:rsidR="00AE7879" w:rsidRPr="00EC1288" w:rsidRDefault="00AE7879" w:rsidP="00EC1288">
      <w:pPr>
        <w:numPr>
          <w:ilvl w:val="0"/>
          <w:numId w:val="8"/>
        </w:numPr>
        <w:tabs>
          <w:tab w:val="clear" w:pos="720"/>
          <w:tab w:val="num" w:pos="851"/>
        </w:tabs>
        <w:spacing w:before="100" w:beforeAutospacing="1" w:after="100" w:afterAutospacing="1"/>
        <w:ind w:left="851" w:hanging="284"/>
        <w:rPr>
          <w:rFonts w:cs="Arial"/>
          <w:color w:val="000000"/>
          <w:szCs w:val="24"/>
        </w:rPr>
      </w:pPr>
      <w:r w:rsidRPr="00EC1288">
        <w:rPr>
          <w:rFonts w:cs="Arial"/>
          <w:color w:val="000000"/>
          <w:szCs w:val="24"/>
        </w:rPr>
        <w:t>meeting with department officials, as and when they request to discuss the local authority’s plans and financial situation</w:t>
      </w:r>
    </w:p>
    <w:p w14:paraId="36235134" w14:textId="6AFA8D6A" w:rsidR="00AE7879" w:rsidRPr="00EC1288" w:rsidRDefault="00AE7879" w:rsidP="00EC1288">
      <w:pPr>
        <w:numPr>
          <w:ilvl w:val="0"/>
          <w:numId w:val="8"/>
        </w:numPr>
        <w:tabs>
          <w:tab w:val="clear" w:pos="720"/>
          <w:tab w:val="num" w:pos="851"/>
        </w:tabs>
        <w:spacing w:before="100" w:beforeAutospacing="1" w:after="100" w:afterAutospacing="1"/>
        <w:ind w:left="851" w:hanging="284"/>
        <w:rPr>
          <w:rFonts w:cs="Arial"/>
          <w:color w:val="000000"/>
          <w:szCs w:val="24"/>
        </w:rPr>
      </w:pPr>
      <w:r w:rsidRPr="00EC1288">
        <w:rPr>
          <w:rFonts w:cs="Arial"/>
          <w:color w:val="000000"/>
          <w:szCs w:val="24"/>
        </w:rPr>
        <w:t xml:space="preserve">keeping the </w:t>
      </w:r>
      <w:r w:rsidR="00A8512C" w:rsidRPr="00EC1288">
        <w:rPr>
          <w:rFonts w:cs="Arial"/>
          <w:color w:val="000000"/>
          <w:szCs w:val="24"/>
        </w:rPr>
        <w:t>school’s</w:t>
      </w:r>
      <w:r w:rsidRPr="00EC1288">
        <w:rPr>
          <w:rFonts w:cs="Arial"/>
          <w:color w:val="000000"/>
          <w:szCs w:val="24"/>
        </w:rPr>
        <w:t xml:space="preserve"> forum updated regularly about the local authority’s DSG account and plans for handling it, including high needs pressures and potential savings</w:t>
      </w:r>
    </w:p>
    <w:p w14:paraId="3D6048E8" w14:textId="564FD406" w:rsidR="0065166E" w:rsidRDefault="00AE7879" w:rsidP="00711406">
      <w:pPr>
        <w:ind w:left="567"/>
        <w:rPr>
          <w:rFonts w:cs="Arial"/>
          <w:color w:val="000000"/>
          <w:szCs w:val="24"/>
        </w:rPr>
      </w:pPr>
      <w:r w:rsidRPr="003905CA">
        <w:rPr>
          <w:rFonts w:cs="Arial"/>
          <w:color w:val="000000"/>
          <w:szCs w:val="24"/>
        </w:rPr>
        <w:t>Non-statutory guidance</w:t>
      </w:r>
      <w:r w:rsidR="0065166E">
        <w:rPr>
          <w:rFonts w:cs="Arial"/>
          <w:color w:val="000000"/>
          <w:szCs w:val="24"/>
        </w:rPr>
        <w:t xml:space="preserve"> </w:t>
      </w:r>
    </w:p>
    <w:p w14:paraId="1320A961" w14:textId="7642F214" w:rsidR="0065166E" w:rsidRDefault="00AE7879" w:rsidP="00711406">
      <w:pPr>
        <w:ind w:left="567"/>
        <w:rPr>
          <w:rFonts w:cs="Arial"/>
          <w:color w:val="000000"/>
          <w:szCs w:val="24"/>
        </w:rPr>
      </w:pPr>
      <w:r w:rsidRPr="00EC1288">
        <w:rPr>
          <w:rFonts w:cs="Arial"/>
          <w:color w:val="000000"/>
          <w:szCs w:val="24"/>
        </w:rPr>
        <w:br/>
      </w:r>
      <w:hyperlink r:id="rId18" w:history="1">
        <w:r w:rsidRPr="00EC1288">
          <w:rPr>
            <w:rStyle w:val="Hyperlink"/>
            <w:rFonts w:cs="Arial"/>
            <w:szCs w:val="24"/>
          </w:rPr>
          <w:t>Creating sustainable high needs systems - GOV.UK (www.gov.uk)</w:t>
        </w:r>
      </w:hyperlink>
    </w:p>
    <w:p w14:paraId="035ED4FD" w14:textId="77777777" w:rsidR="00711406" w:rsidRPr="00711406" w:rsidRDefault="00AE7879" w:rsidP="00711406">
      <w:pPr>
        <w:pStyle w:val="ListParagraph"/>
        <w:numPr>
          <w:ilvl w:val="0"/>
          <w:numId w:val="18"/>
        </w:numPr>
        <w:rPr>
          <w:rFonts w:cs="Arial"/>
          <w:szCs w:val="24"/>
        </w:rPr>
      </w:pPr>
      <w:r w:rsidRPr="00711406">
        <w:rPr>
          <w:rFonts w:cs="Arial"/>
          <w:szCs w:val="24"/>
        </w:rPr>
        <w:t>LAs should invest properly in SEND leadership</w:t>
      </w:r>
    </w:p>
    <w:p w14:paraId="3B238A48" w14:textId="77777777" w:rsidR="00711406" w:rsidRPr="00711406" w:rsidRDefault="00AE7879" w:rsidP="00711406">
      <w:pPr>
        <w:pStyle w:val="ListParagraph"/>
        <w:numPr>
          <w:ilvl w:val="0"/>
          <w:numId w:val="18"/>
        </w:numPr>
        <w:rPr>
          <w:rFonts w:cs="Arial"/>
          <w:szCs w:val="24"/>
        </w:rPr>
      </w:pPr>
      <w:r w:rsidRPr="00711406">
        <w:rPr>
          <w:rFonts w:cs="Arial"/>
          <w:szCs w:val="24"/>
        </w:rPr>
        <w:t>LAs should review their joint commissioning arrangements</w:t>
      </w:r>
    </w:p>
    <w:p w14:paraId="28A0FE4D" w14:textId="553DB3B2" w:rsidR="00711406" w:rsidRPr="00711406" w:rsidRDefault="00AE7879" w:rsidP="00711406">
      <w:pPr>
        <w:pStyle w:val="ListParagraph"/>
        <w:numPr>
          <w:ilvl w:val="0"/>
          <w:numId w:val="18"/>
        </w:numPr>
        <w:rPr>
          <w:rFonts w:cs="Arial"/>
          <w:szCs w:val="24"/>
        </w:rPr>
      </w:pPr>
      <w:r w:rsidRPr="00711406">
        <w:rPr>
          <w:rFonts w:cs="Arial"/>
          <w:szCs w:val="24"/>
        </w:rPr>
        <w:t>LAs should ensure joint accountability for those with SEND and finance responsibilities</w:t>
      </w:r>
    </w:p>
    <w:p w14:paraId="63ED4E66" w14:textId="77777777" w:rsidR="00711406" w:rsidRPr="00711406" w:rsidRDefault="00AE7879" w:rsidP="00711406">
      <w:pPr>
        <w:pStyle w:val="ListParagraph"/>
        <w:numPr>
          <w:ilvl w:val="0"/>
          <w:numId w:val="18"/>
        </w:numPr>
      </w:pPr>
      <w:r w:rsidRPr="00711406">
        <w:rPr>
          <w:rFonts w:cs="Arial"/>
          <w:szCs w:val="24"/>
        </w:rPr>
        <w:t>LAs should review their capacity for SEND support</w:t>
      </w:r>
    </w:p>
    <w:p w14:paraId="78CD6333" w14:textId="77777777" w:rsidR="00711406" w:rsidRPr="00711406" w:rsidRDefault="00AE7879" w:rsidP="00711406">
      <w:pPr>
        <w:pStyle w:val="ListParagraph"/>
        <w:numPr>
          <w:ilvl w:val="0"/>
          <w:numId w:val="18"/>
        </w:numPr>
      </w:pPr>
      <w:r w:rsidRPr="00711406">
        <w:rPr>
          <w:rFonts w:cs="Arial"/>
          <w:szCs w:val="24"/>
        </w:rPr>
        <w:t>LAs should review their current staffing levels and structures for SEND casework</w:t>
      </w:r>
    </w:p>
    <w:p w14:paraId="580FC110" w14:textId="77777777" w:rsidR="00711406" w:rsidRPr="00711406" w:rsidRDefault="00AE7879" w:rsidP="00711406">
      <w:pPr>
        <w:pStyle w:val="ListParagraph"/>
        <w:numPr>
          <w:ilvl w:val="0"/>
          <w:numId w:val="18"/>
        </w:numPr>
      </w:pPr>
      <w:r w:rsidRPr="00711406">
        <w:rPr>
          <w:rFonts w:cs="Arial"/>
          <w:szCs w:val="24"/>
        </w:rPr>
        <w:t>LAs should review and further develop their approaches to partnership with key stakeholders</w:t>
      </w:r>
    </w:p>
    <w:p w14:paraId="7E800B99" w14:textId="77777777" w:rsidR="00711406" w:rsidRPr="00711406" w:rsidRDefault="00AE7879" w:rsidP="00711406">
      <w:pPr>
        <w:pStyle w:val="ListParagraph"/>
        <w:numPr>
          <w:ilvl w:val="0"/>
          <w:numId w:val="18"/>
        </w:numPr>
      </w:pPr>
      <w:r w:rsidRPr="00711406">
        <w:rPr>
          <w:rFonts w:cs="Arial"/>
          <w:szCs w:val="24"/>
        </w:rPr>
        <w:t>When creating new specialist provision, LAs should be clear about the expected range and levels of need that this will cater for.</w:t>
      </w:r>
    </w:p>
    <w:p w14:paraId="27C98A09" w14:textId="77777777" w:rsidR="00711406" w:rsidRPr="00711406" w:rsidRDefault="00AE7879" w:rsidP="00711406">
      <w:pPr>
        <w:pStyle w:val="ListParagraph"/>
        <w:numPr>
          <w:ilvl w:val="0"/>
          <w:numId w:val="18"/>
        </w:numPr>
      </w:pPr>
      <w:r w:rsidRPr="00711406">
        <w:rPr>
          <w:rFonts w:cs="Arial"/>
          <w:szCs w:val="24"/>
        </w:rPr>
        <w:t>Investment should be targeted at strengthening inclusion in mainstream provision</w:t>
      </w:r>
    </w:p>
    <w:p w14:paraId="0DAEA7E1" w14:textId="77777777" w:rsidR="00711406" w:rsidRPr="00711406" w:rsidRDefault="00AE7879" w:rsidP="00711406">
      <w:pPr>
        <w:pStyle w:val="ListParagraph"/>
        <w:numPr>
          <w:ilvl w:val="0"/>
          <w:numId w:val="18"/>
        </w:numPr>
      </w:pPr>
      <w:r w:rsidRPr="00711406">
        <w:rPr>
          <w:rFonts w:cs="Arial"/>
          <w:szCs w:val="24"/>
        </w:rPr>
        <w:t>LAs should set out more clearly their expected pathways for young people</w:t>
      </w:r>
    </w:p>
    <w:p w14:paraId="7F15BD61" w14:textId="04CED42E" w:rsidR="00EC1288" w:rsidRPr="00711406" w:rsidRDefault="00AE7879" w:rsidP="00711406">
      <w:pPr>
        <w:pStyle w:val="ListParagraph"/>
        <w:numPr>
          <w:ilvl w:val="0"/>
          <w:numId w:val="18"/>
        </w:numPr>
      </w:pPr>
      <w:r w:rsidRPr="00711406">
        <w:rPr>
          <w:rFonts w:cs="Arial"/>
          <w:szCs w:val="24"/>
        </w:rPr>
        <w:t>LAs should learn from positive examples of innovative approaches to mainstream funding</w:t>
      </w:r>
      <w:r w:rsidRPr="00711406">
        <w:rPr>
          <w:rFonts w:cs="Arial"/>
          <w:szCs w:val="24"/>
        </w:rPr>
        <w:br/>
      </w:r>
    </w:p>
    <w:p w14:paraId="032CCE72" w14:textId="6FFE73C8" w:rsidR="00A71F05" w:rsidRDefault="00A71F05" w:rsidP="00EC1288">
      <w:pPr>
        <w:rPr>
          <w:b/>
          <w:bCs/>
          <w:sz w:val="28"/>
          <w:szCs w:val="28"/>
        </w:rPr>
      </w:pPr>
      <w:r w:rsidRPr="00EC1288">
        <w:rPr>
          <w:b/>
          <w:bCs/>
          <w:sz w:val="28"/>
          <w:szCs w:val="28"/>
        </w:rPr>
        <w:lastRenderedPageBreak/>
        <w:t>Financial Implications</w:t>
      </w:r>
    </w:p>
    <w:p w14:paraId="0FACAE07" w14:textId="77777777" w:rsidR="00A8512C" w:rsidRPr="00EC1288" w:rsidRDefault="00A8512C" w:rsidP="00EC1288">
      <w:pPr>
        <w:rPr>
          <w:b/>
          <w:bCs/>
          <w:sz w:val="28"/>
          <w:szCs w:val="28"/>
        </w:rPr>
      </w:pPr>
    </w:p>
    <w:p w14:paraId="153762A7" w14:textId="4C77FEB6" w:rsidR="009A2084" w:rsidRDefault="009A2084">
      <w:pPr>
        <w:pStyle w:val="ListParagraph"/>
        <w:numPr>
          <w:ilvl w:val="0"/>
          <w:numId w:val="1"/>
        </w:numPr>
        <w:ind w:left="567" w:hanging="567"/>
      </w:pPr>
      <w:r>
        <w:t xml:space="preserve">The High Needs Block (HNB) has a cumulative deficit brought forward from 2022-23 of £4.007m. At the end of 2022-23 there is </w:t>
      </w:r>
      <w:r w:rsidRPr="009A2084">
        <w:t>an in-year reduction in the deficit of £1.384m which reduces the cumulative</w:t>
      </w:r>
      <w:r>
        <w:t xml:space="preserve"> deficit down to £2.623m</w:t>
      </w:r>
      <w:r w:rsidR="009828CE">
        <w:t xml:space="preserve"> to be carried forward in </w:t>
      </w:r>
      <w:r w:rsidR="009E1663">
        <w:t xml:space="preserve">2023-24. In line with government directive, the HNB deficit is held outside of the Councils revenue budget and set against reserves, it is not a charge to the General Fund. </w:t>
      </w:r>
    </w:p>
    <w:p w14:paraId="08D04E01" w14:textId="77777777" w:rsidR="009A2084" w:rsidRDefault="009A2084" w:rsidP="009A2084"/>
    <w:p w14:paraId="3A4D2BB8" w14:textId="68ADD62D" w:rsidR="009A2084" w:rsidRDefault="009A2084">
      <w:pPr>
        <w:pStyle w:val="ListParagraph"/>
        <w:numPr>
          <w:ilvl w:val="0"/>
          <w:numId w:val="1"/>
        </w:numPr>
        <w:ind w:left="567" w:hanging="567"/>
      </w:pPr>
      <w:r>
        <w:t xml:space="preserve">The </w:t>
      </w:r>
      <w:r w:rsidR="00A8512C">
        <w:t>three-year</w:t>
      </w:r>
      <w:r w:rsidR="009E1663">
        <w:t xml:space="preserve"> </w:t>
      </w:r>
      <w:r>
        <w:t>projected position on the HNB in 2023-24</w:t>
      </w:r>
      <w:r w:rsidR="009E1663">
        <w:t xml:space="preserve"> to 2025/26</w:t>
      </w:r>
      <w:r>
        <w:t xml:space="preserve"> is as follows:</w:t>
      </w:r>
    </w:p>
    <w:p w14:paraId="3D9303E4" w14:textId="77777777" w:rsidR="009A2084" w:rsidRDefault="009A2084" w:rsidP="009A2084"/>
    <w:tbl>
      <w:tblPr>
        <w:tblStyle w:val="TableGrid"/>
        <w:tblW w:w="7684" w:type="dxa"/>
        <w:tblInd w:w="675" w:type="dxa"/>
        <w:tblLook w:val="04A0" w:firstRow="1" w:lastRow="0" w:firstColumn="1" w:lastColumn="0" w:noHBand="0" w:noVBand="1"/>
      </w:tblPr>
      <w:tblGrid>
        <w:gridCol w:w="6124"/>
        <w:gridCol w:w="1560"/>
      </w:tblGrid>
      <w:tr w:rsidR="009A2084" w14:paraId="696998EE" w14:textId="77777777" w:rsidTr="0065166E">
        <w:tc>
          <w:tcPr>
            <w:tcW w:w="6124" w:type="dxa"/>
          </w:tcPr>
          <w:p w14:paraId="4C0917B2" w14:textId="77777777" w:rsidR="009A2084" w:rsidRPr="00904AB1" w:rsidRDefault="009A2084" w:rsidP="00A33D09">
            <w:pPr>
              <w:rPr>
                <w:b/>
                <w:bCs/>
              </w:rPr>
            </w:pPr>
            <w:r>
              <w:rPr>
                <w:b/>
                <w:bCs/>
              </w:rPr>
              <w:t>Projections</w:t>
            </w:r>
          </w:p>
        </w:tc>
        <w:tc>
          <w:tcPr>
            <w:tcW w:w="1560" w:type="dxa"/>
          </w:tcPr>
          <w:p w14:paraId="13DEE7A6" w14:textId="77777777" w:rsidR="009A2084" w:rsidRPr="00904AB1" w:rsidRDefault="009A2084" w:rsidP="00A33D09">
            <w:pPr>
              <w:rPr>
                <w:b/>
                <w:bCs/>
              </w:rPr>
            </w:pPr>
            <w:r w:rsidRPr="00904AB1">
              <w:rPr>
                <w:b/>
                <w:bCs/>
              </w:rPr>
              <w:t>Spend</w:t>
            </w:r>
          </w:p>
        </w:tc>
      </w:tr>
      <w:tr w:rsidR="009A2084" w14:paraId="2E2A4C46" w14:textId="77777777" w:rsidTr="0065166E">
        <w:tc>
          <w:tcPr>
            <w:tcW w:w="6124" w:type="dxa"/>
          </w:tcPr>
          <w:p w14:paraId="131CC332" w14:textId="77777777" w:rsidR="009A2084" w:rsidRDefault="009A2084" w:rsidP="00A33D09">
            <w:r w:rsidRPr="00513650">
              <w:t>Deficit brought forward 1 April 2022</w:t>
            </w:r>
          </w:p>
        </w:tc>
        <w:tc>
          <w:tcPr>
            <w:tcW w:w="1560" w:type="dxa"/>
          </w:tcPr>
          <w:p w14:paraId="51791BBF" w14:textId="77777777" w:rsidR="009A2084" w:rsidRDefault="009A2084" w:rsidP="00A33D09">
            <w:pPr>
              <w:jc w:val="right"/>
            </w:pPr>
            <w:r w:rsidRPr="00F75469">
              <w:t>£4,006,867</w:t>
            </w:r>
          </w:p>
        </w:tc>
      </w:tr>
      <w:tr w:rsidR="009A2084" w14:paraId="3754DFAF" w14:textId="77777777" w:rsidTr="0065166E">
        <w:tc>
          <w:tcPr>
            <w:tcW w:w="6124" w:type="dxa"/>
          </w:tcPr>
          <w:p w14:paraId="27BCE3C3" w14:textId="77777777" w:rsidR="009A2084" w:rsidRDefault="009A2084" w:rsidP="00A33D09">
            <w:r w:rsidRPr="00513650">
              <w:t>2022-23 in year surplus</w:t>
            </w:r>
          </w:p>
        </w:tc>
        <w:tc>
          <w:tcPr>
            <w:tcW w:w="1560" w:type="dxa"/>
          </w:tcPr>
          <w:p w14:paraId="147A6A83" w14:textId="77777777" w:rsidR="009A2084" w:rsidRDefault="009A2084" w:rsidP="00A33D09">
            <w:pPr>
              <w:jc w:val="right"/>
            </w:pPr>
            <w:r w:rsidRPr="00F75469">
              <w:t>-£</w:t>
            </w:r>
            <w:r>
              <w:t>1,384,105</w:t>
            </w:r>
          </w:p>
        </w:tc>
      </w:tr>
      <w:tr w:rsidR="009A2084" w14:paraId="3D25BE40" w14:textId="77777777" w:rsidTr="0065166E">
        <w:tc>
          <w:tcPr>
            <w:tcW w:w="6124" w:type="dxa"/>
          </w:tcPr>
          <w:p w14:paraId="4E1609FA" w14:textId="77777777" w:rsidR="009A2084" w:rsidRPr="003D6934" w:rsidRDefault="009A2084" w:rsidP="00A33D09">
            <w:pPr>
              <w:rPr>
                <w:b/>
                <w:bCs/>
              </w:rPr>
            </w:pPr>
            <w:r w:rsidRPr="003D6934">
              <w:rPr>
                <w:b/>
                <w:bCs/>
              </w:rPr>
              <w:t>Deficit carried forward 31 March 2023</w:t>
            </w:r>
          </w:p>
        </w:tc>
        <w:tc>
          <w:tcPr>
            <w:tcW w:w="1560" w:type="dxa"/>
          </w:tcPr>
          <w:p w14:paraId="3E8987A6" w14:textId="77777777" w:rsidR="009A2084" w:rsidRPr="003D6934" w:rsidRDefault="009A2084" w:rsidP="00A33D09">
            <w:pPr>
              <w:jc w:val="right"/>
              <w:rPr>
                <w:b/>
                <w:bCs/>
              </w:rPr>
            </w:pPr>
            <w:r w:rsidRPr="003D6934">
              <w:rPr>
                <w:b/>
                <w:bCs/>
              </w:rPr>
              <w:t>£</w:t>
            </w:r>
            <w:r>
              <w:rPr>
                <w:b/>
                <w:bCs/>
              </w:rPr>
              <w:t>2,622,762</w:t>
            </w:r>
          </w:p>
        </w:tc>
      </w:tr>
      <w:tr w:rsidR="009A2084" w14:paraId="14012ABF" w14:textId="77777777" w:rsidTr="0065166E">
        <w:tc>
          <w:tcPr>
            <w:tcW w:w="6124" w:type="dxa"/>
          </w:tcPr>
          <w:p w14:paraId="6C007A02" w14:textId="77777777" w:rsidR="009A2084" w:rsidRDefault="009A2084" w:rsidP="00A33D09">
            <w:r w:rsidRPr="00513650">
              <w:t xml:space="preserve">2023-24 </w:t>
            </w:r>
            <w:r>
              <w:t xml:space="preserve">in year deficit </w:t>
            </w:r>
            <w:r w:rsidRPr="00513650">
              <w:t>projection without funding proposals</w:t>
            </w:r>
          </w:p>
        </w:tc>
        <w:tc>
          <w:tcPr>
            <w:tcW w:w="1560" w:type="dxa"/>
          </w:tcPr>
          <w:p w14:paraId="695599FB" w14:textId="77777777" w:rsidR="009A2084" w:rsidRDefault="009A2084" w:rsidP="00A33D09">
            <w:pPr>
              <w:jc w:val="right"/>
            </w:pPr>
            <w:r w:rsidRPr="00EC149A">
              <w:t>£1,053,301</w:t>
            </w:r>
          </w:p>
        </w:tc>
      </w:tr>
      <w:tr w:rsidR="009A2084" w14:paraId="04C19ADB" w14:textId="77777777" w:rsidTr="0065166E">
        <w:tc>
          <w:tcPr>
            <w:tcW w:w="6124" w:type="dxa"/>
          </w:tcPr>
          <w:p w14:paraId="0BD19ED5" w14:textId="77777777" w:rsidR="009A2084" w:rsidRDefault="009A2084" w:rsidP="00A33D09">
            <w:r w:rsidRPr="00513650">
              <w:t>2023-24 ARMS &amp; EHCP funding proposals</w:t>
            </w:r>
            <w:r>
              <w:t xml:space="preserve"> agreed Feb 2023</w:t>
            </w:r>
          </w:p>
        </w:tc>
        <w:tc>
          <w:tcPr>
            <w:tcW w:w="1560" w:type="dxa"/>
          </w:tcPr>
          <w:p w14:paraId="03C702C3" w14:textId="77777777" w:rsidR="009A2084" w:rsidRDefault="009A2084" w:rsidP="00A33D09">
            <w:pPr>
              <w:jc w:val="right"/>
            </w:pPr>
            <w:r w:rsidRPr="00EC149A">
              <w:t>£653,888</w:t>
            </w:r>
          </w:p>
        </w:tc>
      </w:tr>
      <w:tr w:rsidR="009A2084" w14:paraId="200BD429" w14:textId="77777777" w:rsidTr="0065166E">
        <w:tc>
          <w:tcPr>
            <w:tcW w:w="6124" w:type="dxa"/>
          </w:tcPr>
          <w:p w14:paraId="125E76E3" w14:textId="77777777" w:rsidR="009A2084" w:rsidRPr="002526DD" w:rsidRDefault="009A2084" w:rsidP="00A33D09">
            <w:r w:rsidRPr="002526DD">
              <w:t xml:space="preserve">2023-24 Correction to Special School funding </w:t>
            </w:r>
          </w:p>
        </w:tc>
        <w:tc>
          <w:tcPr>
            <w:tcW w:w="1560" w:type="dxa"/>
          </w:tcPr>
          <w:p w14:paraId="4D03A633" w14:textId="77777777" w:rsidR="009A2084" w:rsidRPr="002526DD" w:rsidRDefault="009A2084" w:rsidP="00A33D09">
            <w:pPr>
              <w:jc w:val="right"/>
            </w:pPr>
            <w:r w:rsidRPr="002526DD">
              <w:t>£98,700</w:t>
            </w:r>
          </w:p>
        </w:tc>
      </w:tr>
      <w:tr w:rsidR="009A2084" w14:paraId="5E8C3E86" w14:textId="77777777" w:rsidTr="0065166E">
        <w:tc>
          <w:tcPr>
            <w:tcW w:w="6124" w:type="dxa"/>
          </w:tcPr>
          <w:p w14:paraId="00D6F660" w14:textId="77777777" w:rsidR="009A2084" w:rsidRPr="00513650" w:rsidRDefault="009A2084" w:rsidP="00A33D09">
            <w:r>
              <w:t>2023-24 Additional ECHP funding proposal for approval</w:t>
            </w:r>
          </w:p>
        </w:tc>
        <w:tc>
          <w:tcPr>
            <w:tcW w:w="1560" w:type="dxa"/>
          </w:tcPr>
          <w:p w14:paraId="51B66D4F" w14:textId="77777777" w:rsidR="009A2084" w:rsidRPr="00F75469" w:rsidRDefault="009A2084" w:rsidP="00A33D09">
            <w:pPr>
              <w:jc w:val="right"/>
            </w:pPr>
            <w:r w:rsidRPr="00EC149A">
              <w:t>£461,388</w:t>
            </w:r>
          </w:p>
        </w:tc>
      </w:tr>
      <w:tr w:rsidR="009A2084" w14:paraId="605FB6C2" w14:textId="77777777" w:rsidTr="0065166E">
        <w:tc>
          <w:tcPr>
            <w:tcW w:w="6124" w:type="dxa"/>
          </w:tcPr>
          <w:p w14:paraId="45478348" w14:textId="77777777" w:rsidR="009A2084" w:rsidRPr="003D6934" w:rsidRDefault="009A2084" w:rsidP="00A33D09">
            <w:pPr>
              <w:rPr>
                <w:b/>
                <w:bCs/>
              </w:rPr>
            </w:pPr>
            <w:r w:rsidRPr="003D6934">
              <w:rPr>
                <w:b/>
                <w:bCs/>
              </w:rPr>
              <w:t>Cumulative deficit 31 March 2024</w:t>
            </w:r>
          </w:p>
        </w:tc>
        <w:tc>
          <w:tcPr>
            <w:tcW w:w="1560" w:type="dxa"/>
          </w:tcPr>
          <w:p w14:paraId="63842A82" w14:textId="77777777" w:rsidR="009A2084" w:rsidRPr="00A30C07" w:rsidRDefault="009A2084" w:rsidP="00A33D09">
            <w:pPr>
              <w:jc w:val="right"/>
              <w:rPr>
                <w:b/>
                <w:bCs/>
              </w:rPr>
            </w:pPr>
            <w:r w:rsidRPr="00A30C07">
              <w:rPr>
                <w:b/>
                <w:bCs/>
              </w:rPr>
              <w:t>£4,890,038</w:t>
            </w:r>
          </w:p>
        </w:tc>
      </w:tr>
      <w:tr w:rsidR="009A2084" w14:paraId="282BFCB4" w14:textId="77777777" w:rsidTr="0065166E">
        <w:tc>
          <w:tcPr>
            <w:tcW w:w="6124" w:type="dxa"/>
          </w:tcPr>
          <w:p w14:paraId="52F32224" w14:textId="77777777" w:rsidR="009A2084" w:rsidRDefault="009A2084" w:rsidP="00A33D09">
            <w:r w:rsidRPr="00513650">
              <w:t>2024-25</w:t>
            </w:r>
            <w:r>
              <w:t xml:space="preserve"> in year deficit</w:t>
            </w:r>
            <w:r w:rsidRPr="00513650">
              <w:t xml:space="preserve"> projection</w:t>
            </w:r>
          </w:p>
        </w:tc>
        <w:tc>
          <w:tcPr>
            <w:tcW w:w="1560" w:type="dxa"/>
          </w:tcPr>
          <w:p w14:paraId="5471ADF9" w14:textId="77777777" w:rsidR="009A2084" w:rsidRDefault="009A2084" w:rsidP="00A33D09">
            <w:pPr>
              <w:jc w:val="right"/>
            </w:pPr>
          </w:p>
        </w:tc>
      </w:tr>
      <w:tr w:rsidR="009A2084" w:rsidRPr="00904AB1" w14:paraId="27051A3E" w14:textId="77777777" w:rsidTr="0065166E">
        <w:tc>
          <w:tcPr>
            <w:tcW w:w="6124" w:type="dxa"/>
          </w:tcPr>
          <w:p w14:paraId="3A8A57AA" w14:textId="77777777" w:rsidR="009A2084" w:rsidRPr="00904AB1" w:rsidRDefault="009A2084" w:rsidP="00A33D09">
            <w:pPr>
              <w:rPr>
                <w:b/>
                <w:bCs/>
              </w:rPr>
            </w:pPr>
            <w:r w:rsidRPr="00513650">
              <w:t>2025-26</w:t>
            </w:r>
            <w:r>
              <w:t xml:space="preserve"> in year deficit</w:t>
            </w:r>
            <w:r w:rsidRPr="00513650">
              <w:t xml:space="preserve"> projection</w:t>
            </w:r>
          </w:p>
        </w:tc>
        <w:tc>
          <w:tcPr>
            <w:tcW w:w="1560" w:type="dxa"/>
          </w:tcPr>
          <w:p w14:paraId="6851D92A" w14:textId="77777777" w:rsidR="009A2084" w:rsidRPr="00904AB1" w:rsidRDefault="009A2084" w:rsidP="00A33D09">
            <w:pPr>
              <w:jc w:val="right"/>
              <w:rPr>
                <w:b/>
                <w:bCs/>
              </w:rPr>
            </w:pPr>
            <w:r w:rsidRPr="00EC149A">
              <w:t>£4,494,359</w:t>
            </w:r>
          </w:p>
        </w:tc>
      </w:tr>
      <w:tr w:rsidR="009A2084" w:rsidRPr="00904AB1" w14:paraId="52270D13" w14:textId="77777777" w:rsidTr="0065166E">
        <w:tc>
          <w:tcPr>
            <w:tcW w:w="6124" w:type="dxa"/>
          </w:tcPr>
          <w:p w14:paraId="09CC8B47" w14:textId="77777777" w:rsidR="009A2084" w:rsidRPr="00904AB1" w:rsidRDefault="009A2084" w:rsidP="00A33D09">
            <w:pPr>
              <w:rPr>
                <w:b/>
                <w:bCs/>
              </w:rPr>
            </w:pPr>
            <w:r>
              <w:rPr>
                <w:b/>
                <w:bCs/>
              </w:rPr>
              <w:t>Cumulative deficit 31 March 2026</w:t>
            </w:r>
          </w:p>
        </w:tc>
        <w:tc>
          <w:tcPr>
            <w:tcW w:w="1560" w:type="dxa"/>
          </w:tcPr>
          <w:p w14:paraId="0707D29A" w14:textId="77777777" w:rsidR="009A2084" w:rsidRPr="00904AB1" w:rsidRDefault="009A2084" w:rsidP="00A33D09">
            <w:pPr>
              <w:jc w:val="right"/>
              <w:rPr>
                <w:b/>
                <w:bCs/>
              </w:rPr>
            </w:pPr>
            <w:r w:rsidRPr="00EC149A">
              <w:t>£10,581,762</w:t>
            </w:r>
          </w:p>
        </w:tc>
      </w:tr>
    </w:tbl>
    <w:p w14:paraId="3F2D7568" w14:textId="3D450760" w:rsidR="009A2084" w:rsidRDefault="009A2084" w:rsidP="009A2084"/>
    <w:p w14:paraId="4DFDF903" w14:textId="77777777" w:rsidR="009A2084" w:rsidRDefault="009A2084">
      <w:pPr>
        <w:pStyle w:val="ListParagraph"/>
        <w:numPr>
          <w:ilvl w:val="0"/>
          <w:numId w:val="1"/>
        </w:numPr>
        <w:ind w:left="567" w:hanging="567"/>
      </w:pPr>
      <w:r>
        <w:t xml:space="preserve">The figures above assume that there will be a projected 100-120 additional pupils with EHCPs per annum, that additional ARMs will be opened and there will be 20 additional special school places in September 2023 but assume beyond 2023-24 that provision in the borough will be at capacity and thus the majority of additional children would need to be educated out of borough at Independent Non-Maintained Specialist Schools (INMSS). </w:t>
      </w:r>
    </w:p>
    <w:p w14:paraId="2346C6F3" w14:textId="77777777" w:rsidR="009A2084" w:rsidRDefault="009A2084" w:rsidP="009A2084"/>
    <w:p w14:paraId="6D4B3077" w14:textId="3299856A" w:rsidR="009A2084" w:rsidRDefault="009A2084">
      <w:pPr>
        <w:pStyle w:val="ListParagraph"/>
        <w:numPr>
          <w:ilvl w:val="0"/>
          <w:numId w:val="1"/>
        </w:numPr>
        <w:ind w:left="567" w:hanging="567"/>
      </w:pPr>
      <w:r>
        <w:t>This is where the significant spike in spend is projected to occur from 2024-25 as a disproportionate number of the additional growth in children would have to be placed at INMSS provision.</w:t>
      </w:r>
    </w:p>
    <w:p w14:paraId="469FFAFD" w14:textId="77777777" w:rsidR="009A2084" w:rsidRDefault="009A2084" w:rsidP="009A2084">
      <w:pPr>
        <w:ind w:left="567" w:hanging="567"/>
      </w:pPr>
    </w:p>
    <w:p w14:paraId="788F3D6A" w14:textId="043175EC" w:rsidR="009A2084" w:rsidRDefault="009A2084">
      <w:pPr>
        <w:pStyle w:val="ListParagraph"/>
        <w:numPr>
          <w:ilvl w:val="0"/>
          <w:numId w:val="1"/>
        </w:numPr>
        <w:ind w:left="567" w:hanging="567"/>
      </w:pPr>
      <w:r>
        <w:t>The cost of INMSS provision is estimated to increase to around £70,000 compared to £30,000-£35,000 in Harrow special school provision and £20,000-£25,000 in ARMs resources. The average cost of a mainstream EHCP is £10,000-£15,000. If schools decide not to continue providing ARMs provision or agree to open new provision, then the projected deficit figures above will be significantly higher as pupils who could go to ARMs provision would go to Harrow special schools and pupils who could go to Harrow special schools would have to go to INMSS provision.</w:t>
      </w:r>
    </w:p>
    <w:p w14:paraId="34E2AED6" w14:textId="77777777" w:rsidR="0065166E" w:rsidRDefault="0065166E" w:rsidP="0065166E">
      <w:pPr>
        <w:pStyle w:val="ListParagraph"/>
      </w:pPr>
    </w:p>
    <w:p w14:paraId="42AABA4C" w14:textId="6E9D0B72" w:rsidR="0065166E" w:rsidRDefault="00446823" w:rsidP="0065166E">
      <w:pPr>
        <w:pStyle w:val="ListParagraph"/>
        <w:numPr>
          <w:ilvl w:val="0"/>
          <w:numId w:val="1"/>
        </w:numPr>
        <w:ind w:left="567" w:hanging="567"/>
      </w:pPr>
      <w:r>
        <w:t>In February 2023 Council approved an increase of 3.4% to EHCP’s, £362k. This report recommends a revised increase of 10% at a total cost of £823k. This cost is outside of the Council’s revenue budget and is held against the Council’s reserves. The full cost is included in the full cost projections detailed in the table in paragraph 4</w:t>
      </w:r>
      <w:r w:rsidR="0065166E">
        <w:t>3</w:t>
      </w:r>
      <w:r>
        <w:t xml:space="preserve">. </w:t>
      </w:r>
    </w:p>
    <w:p w14:paraId="2AF585FE" w14:textId="77777777" w:rsidR="0065166E" w:rsidRDefault="0065166E" w:rsidP="0065166E"/>
    <w:p w14:paraId="169EAC72" w14:textId="5FB543CB" w:rsidR="002C15CF" w:rsidRDefault="002C15CF" w:rsidP="0065166E">
      <w:pPr>
        <w:pStyle w:val="ListParagraph"/>
        <w:numPr>
          <w:ilvl w:val="0"/>
          <w:numId w:val="1"/>
        </w:numPr>
        <w:ind w:left="567" w:hanging="567"/>
      </w:pPr>
      <w:r>
        <w:t xml:space="preserve">Mitigating actions as part of the current SEND strategy and proposed updated SEND Strategy are set out at </w:t>
      </w:r>
      <w:r w:rsidR="0065166E">
        <w:t>p</w:t>
      </w:r>
      <w:r>
        <w:t>aragraph 15</w:t>
      </w:r>
    </w:p>
    <w:p w14:paraId="2EC6E9A1" w14:textId="37A2BFB4" w:rsidR="00A1507D" w:rsidRPr="007F1F83" w:rsidRDefault="00A1507D" w:rsidP="00BF7C9D">
      <w:pPr>
        <w:pStyle w:val="Heading3"/>
      </w:pPr>
      <w:r w:rsidRPr="004A2543">
        <w:t>Equalities implications</w:t>
      </w:r>
      <w:r>
        <w:t xml:space="preserve"> </w:t>
      </w:r>
      <w:r w:rsidRPr="00333FAA">
        <w:t>/</w:t>
      </w:r>
      <w:r>
        <w:t xml:space="preserve"> </w:t>
      </w:r>
      <w:r w:rsidRPr="00333FAA">
        <w:t>Pub</w:t>
      </w:r>
      <w:r w:rsidR="009A2084">
        <w:t>l</w:t>
      </w:r>
      <w:r w:rsidRPr="00333FAA">
        <w:t>ic Sector Equality Duty</w:t>
      </w:r>
    </w:p>
    <w:p w14:paraId="07C508D0" w14:textId="77777777" w:rsidR="00DF0280" w:rsidRPr="00BF7C9D" w:rsidRDefault="00DF0280" w:rsidP="00BF7C9D">
      <w:pPr>
        <w:pStyle w:val="ListParagraph"/>
        <w:numPr>
          <w:ilvl w:val="0"/>
          <w:numId w:val="1"/>
        </w:numPr>
        <w:suppressAutoHyphens/>
        <w:ind w:left="567" w:hanging="567"/>
        <w:rPr>
          <w:rFonts w:cs="Arial"/>
          <w:lang w:eastAsia="ar-SA"/>
        </w:rPr>
      </w:pPr>
      <w:r w:rsidRPr="00BF7C9D">
        <w:rPr>
          <w:rFonts w:cs="Arial"/>
          <w:lang w:eastAsia="ar-SA"/>
        </w:rPr>
        <w:t>Decision makers should have due regard to the public sector equality duty in making their decisions. The equalities duties are continuing duties they are not duties to secure a particular outcome. The equalities impact will be revisited on each of the proposals as they are developed. Consideration of the duties should precede the decision. It is important that Cabinet has regard to the statutory grounds in the light of all available material such as consultation responses. The statutory grounds of the public sector equality duty are found at section 149 of the Equality Act 2010 and are as follows:</w:t>
      </w:r>
    </w:p>
    <w:p w14:paraId="2CEFC59E" w14:textId="77777777" w:rsidR="00DF0280" w:rsidRPr="00C775D1" w:rsidRDefault="00DF0280" w:rsidP="00DF0280">
      <w:pPr>
        <w:suppressAutoHyphens/>
        <w:ind w:left="851" w:hanging="851"/>
        <w:jc w:val="both"/>
        <w:rPr>
          <w:rFonts w:cs="Arial"/>
          <w:i/>
          <w:iCs/>
          <w:szCs w:val="24"/>
          <w:lang w:eastAsia="ar-SA"/>
        </w:rPr>
      </w:pPr>
    </w:p>
    <w:p w14:paraId="057CFEC4" w14:textId="77777777" w:rsidR="00DF0280" w:rsidRPr="007F1F83" w:rsidRDefault="00DF0280" w:rsidP="007F1F83">
      <w:pPr>
        <w:pStyle w:val="ListParagraph"/>
        <w:numPr>
          <w:ilvl w:val="0"/>
          <w:numId w:val="1"/>
        </w:numPr>
        <w:suppressAutoHyphens/>
        <w:ind w:left="567" w:hanging="567"/>
        <w:rPr>
          <w:rFonts w:cs="Arial"/>
          <w:i/>
          <w:iCs/>
          <w:szCs w:val="24"/>
          <w:lang w:eastAsia="ar-SA"/>
        </w:rPr>
      </w:pPr>
      <w:r w:rsidRPr="007F1F83">
        <w:rPr>
          <w:rFonts w:cs="Arial"/>
          <w:i/>
          <w:iCs/>
          <w:szCs w:val="24"/>
          <w:lang w:eastAsia="ar-SA"/>
        </w:rPr>
        <w:t>A public authority must, in the exercise of its functions, have due regard to the need to:</w:t>
      </w:r>
    </w:p>
    <w:p w14:paraId="274659CE" w14:textId="77777777" w:rsidR="00DF0280" w:rsidRPr="00C775D1" w:rsidRDefault="00DF0280" w:rsidP="007F1F83">
      <w:pPr>
        <w:numPr>
          <w:ilvl w:val="1"/>
          <w:numId w:val="5"/>
        </w:numPr>
        <w:tabs>
          <w:tab w:val="clear" w:pos="1440"/>
          <w:tab w:val="num" w:pos="1134"/>
        </w:tabs>
        <w:suppressAutoHyphens/>
        <w:ind w:left="1134" w:hanging="567"/>
        <w:rPr>
          <w:rFonts w:cs="Arial"/>
          <w:i/>
          <w:iCs/>
          <w:szCs w:val="24"/>
          <w:lang w:eastAsia="ar-SA"/>
        </w:rPr>
      </w:pPr>
      <w:r w:rsidRPr="00C775D1">
        <w:rPr>
          <w:rFonts w:cs="Arial"/>
          <w:i/>
          <w:iCs/>
          <w:szCs w:val="24"/>
          <w:lang w:eastAsia="ar-SA"/>
        </w:rPr>
        <w:t>eliminate discrimination, harassment, victimisation and any other conduct that is prohibited by or under this Act;</w:t>
      </w:r>
    </w:p>
    <w:p w14:paraId="50EFFAF1" w14:textId="77777777" w:rsidR="00DF0280" w:rsidRPr="00C775D1" w:rsidRDefault="00DF0280" w:rsidP="007F1F83">
      <w:pPr>
        <w:numPr>
          <w:ilvl w:val="1"/>
          <w:numId w:val="5"/>
        </w:numPr>
        <w:tabs>
          <w:tab w:val="clear" w:pos="1440"/>
          <w:tab w:val="num" w:pos="1134"/>
        </w:tabs>
        <w:suppressAutoHyphens/>
        <w:ind w:left="1134" w:hanging="567"/>
        <w:rPr>
          <w:rFonts w:cs="Arial"/>
          <w:i/>
          <w:iCs/>
          <w:szCs w:val="24"/>
          <w:lang w:eastAsia="ar-SA"/>
        </w:rPr>
      </w:pPr>
      <w:r w:rsidRPr="00C775D1">
        <w:rPr>
          <w:rFonts w:cs="Arial"/>
          <w:i/>
          <w:iCs/>
          <w:szCs w:val="24"/>
          <w:lang w:eastAsia="ar-SA"/>
        </w:rPr>
        <w:t>advance equality of opportunity between persons who share a relevant protected characteristic and persons who do not share it;</w:t>
      </w:r>
    </w:p>
    <w:p w14:paraId="217AD7DA" w14:textId="147BC24B" w:rsidR="00DF0280" w:rsidRDefault="00DF0280" w:rsidP="007F1F83">
      <w:pPr>
        <w:numPr>
          <w:ilvl w:val="1"/>
          <w:numId w:val="5"/>
        </w:numPr>
        <w:tabs>
          <w:tab w:val="clear" w:pos="1440"/>
          <w:tab w:val="num" w:pos="1134"/>
        </w:tabs>
        <w:suppressAutoHyphens/>
        <w:ind w:left="1134" w:hanging="567"/>
        <w:rPr>
          <w:rFonts w:cs="Arial"/>
          <w:i/>
          <w:iCs/>
          <w:szCs w:val="24"/>
          <w:lang w:eastAsia="ar-SA"/>
        </w:rPr>
      </w:pPr>
      <w:r w:rsidRPr="00C775D1">
        <w:rPr>
          <w:rFonts w:cs="Arial"/>
          <w:i/>
          <w:iCs/>
          <w:szCs w:val="24"/>
          <w:lang w:eastAsia="ar-SA"/>
        </w:rPr>
        <w:t>Foster good relations between persons who share a relevant protected characteristic and persons who do not share it.</w:t>
      </w:r>
    </w:p>
    <w:p w14:paraId="6AD9718A" w14:textId="77777777" w:rsidR="00BF7C9D" w:rsidRPr="00C775D1" w:rsidRDefault="00BF7C9D" w:rsidP="007F1F83">
      <w:pPr>
        <w:suppressAutoHyphens/>
        <w:ind w:left="851"/>
        <w:rPr>
          <w:rFonts w:cs="Arial"/>
          <w:i/>
          <w:iCs/>
          <w:szCs w:val="24"/>
          <w:lang w:eastAsia="ar-SA"/>
        </w:rPr>
      </w:pPr>
    </w:p>
    <w:p w14:paraId="00B79A0B" w14:textId="77777777" w:rsidR="00DF0280" w:rsidRPr="007F1F83" w:rsidRDefault="00DF0280" w:rsidP="007F1F83">
      <w:pPr>
        <w:pStyle w:val="ListParagraph"/>
        <w:numPr>
          <w:ilvl w:val="0"/>
          <w:numId w:val="1"/>
        </w:numPr>
        <w:suppressAutoHyphens/>
        <w:ind w:left="567" w:hanging="567"/>
        <w:rPr>
          <w:rFonts w:cs="Arial"/>
          <w:i/>
          <w:iCs/>
          <w:szCs w:val="24"/>
          <w:lang w:eastAsia="ar-SA"/>
        </w:rPr>
      </w:pPr>
      <w:r w:rsidRPr="007F1F83">
        <w:rPr>
          <w:rFonts w:cs="Arial"/>
          <w:i/>
          <w:iCs/>
          <w:szCs w:val="24"/>
          <w:lang w:eastAsia="ar-SA"/>
        </w:rPr>
        <w:t>Having due regard to the need to advance equality of opportunity between persons who share a relevant protected characteristic and persons who do not share it involves having due regard to the need to:</w:t>
      </w:r>
    </w:p>
    <w:p w14:paraId="1E9D554A" w14:textId="77777777" w:rsidR="00DF0280" w:rsidRPr="00C775D1" w:rsidRDefault="00DF0280" w:rsidP="007F1F83">
      <w:pPr>
        <w:numPr>
          <w:ilvl w:val="0"/>
          <w:numId w:val="7"/>
        </w:numPr>
        <w:tabs>
          <w:tab w:val="clear" w:pos="720"/>
          <w:tab w:val="num" w:pos="1134"/>
          <w:tab w:val="left" w:pos="1440"/>
          <w:tab w:val="left" w:pos="1496"/>
        </w:tabs>
        <w:suppressAutoHyphens/>
        <w:ind w:left="1134" w:hanging="567"/>
        <w:rPr>
          <w:rFonts w:cs="Arial"/>
          <w:i/>
          <w:iCs/>
          <w:szCs w:val="24"/>
          <w:lang w:eastAsia="ar-SA"/>
        </w:rPr>
      </w:pPr>
      <w:r w:rsidRPr="00C775D1">
        <w:rPr>
          <w:rFonts w:cs="Arial"/>
          <w:i/>
          <w:iCs/>
          <w:szCs w:val="24"/>
          <w:lang w:eastAsia="ar-SA"/>
        </w:rPr>
        <w:t>remove or minimise disadvantages suffered by persons who share a relevant protected characteristic that are connected to that characteristic;</w:t>
      </w:r>
    </w:p>
    <w:p w14:paraId="14DDC1B1" w14:textId="77777777" w:rsidR="00DF0280" w:rsidRPr="00C775D1" w:rsidRDefault="00DF0280" w:rsidP="007F1F83">
      <w:pPr>
        <w:numPr>
          <w:ilvl w:val="0"/>
          <w:numId w:val="7"/>
        </w:numPr>
        <w:tabs>
          <w:tab w:val="clear" w:pos="720"/>
          <w:tab w:val="num" w:pos="1134"/>
          <w:tab w:val="left" w:pos="1440"/>
          <w:tab w:val="left" w:pos="1496"/>
        </w:tabs>
        <w:suppressAutoHyphens/>
        <w:ind w:left="1134" w:hanging="567"/>
        <w:rPr>
          <w:rFonts w:cs="Arial"/>
          <w:i/>
          <w:iCs/>
          <w:szCs w:val="24"/>
          <w:lang w:eastAsia="ar-SA"/>
        </w:rPr>
      </w:pPr>
      <w:r w:rsidRPr="00C775D1">
        <w:rPr>
          <w:rFonts w:cs="Arial"/>
          <w:i/>
          <w:iCs/>
          <w:szCs w:val="24"/>
          <w:lang w:eastAsia="ar-SA"/>
        </w:rPr>
        <w:t>take steps to meet the needs of persons who share a relevant protected characteristic that are different from the needs of persons who do not share it;</w:t>
      </w:r>
    </w:p>
    <w:p w14:paraId="1A5C5F0F" w14:textId="6192345A" w:rsidR="00DF0280" w:rsidRDefault="00DF0280" w:rsidP="00BF7C9D">
      <w:pPr>
        <w:numPr>
          <w:ilvl w:val="0"/>
          <w:numId w:val="7"/>
        </w:numPr>
        <w:tabs>
          <w:tab w:val="clear" w:pos="720"/>
          <w:tab w:val="num" w:pos="1134"/>
          <w:tab w:val="left" w:pos="1440"/>
          <w:tab w:val="left" w:pos="1496"/>
        </w:tabs>
        <w:suppressAutoHyphens/>
        <w:ind w:left="1134" w:hanging="567"/>
        <w:rPr>
          <w:rFonts w:cs="Arial"/>
          <w:i/>
          <w:iCs/>
          <w:szCs w:val="24"/>
          <w:lang w:eastAsia="ar-SA"/>
        </w:rPr>
      </w:pPr>
      <w:r w:rsidRPr="00C775D1">
        <w:rPr>
          <w:rFonts w:cs="Arial"/>
          <w:i/>
          <w:iCs/>
          <w:szCs w:val="24"/>
          <w:lang w:eastAsia="ar-SA"/>
        </w:rPr>
        <w:t xml:space="preserve">Encourage persons who share a relevant protected characteristic to participate in public life or in any other activity in which </w:t>
      </w:r>
      <w:r w:rsidRPr="00711406">
        <w:rPr>
          <w:rFonts w:cs="Arial"/>
          <w:i/>
          <w:iCs/>
          <w:szCs w:val="24"/>
          <w:lang w:eastAsia="ar-SA"/>
        </w:rPr>
        <w:t>participation b</w:t>
      </w:r>
      <w:r w:rsidRPr="00C775D1">
        <w:rPr>
          <w:rFonts w:cs="Arial"/>
          <w:i/>
          <w:iCs/>
          <w:szCs w:val="24"/>
          <w:lang w:eastAsia="ar-SA"/>
        </w:rPr>
        <w:t>y such persons is disproportionately low.</w:t>
      </w:r>
    </w:p>
    <w:p w14:paraId="40EF518A" w14:textId="77777777" w:rsidR="00BF7C9D" w:rsidRPr="00C775D1" w:rsidRDefault="00BF7C9D" w:rsidP="007F1F83">
      <w:pPr>
        <w:tabs>
          <w:tab w:val="left" w:pos="1440"/>
          <w:tab w:val="left" w:pos="1496"/>
        </w:tabs>
        <w:suppressAutoHyphens/>
        <w:ind w:left="1134"/>
        <w:rPr>
          <w:rFonts w:cs="Arial"/>
          <w:i/>
          <w:iCs/>
          <w:szCs w:val="24"/>
          <w:lang w:eastAsia="ar-SA"/>
        </w:rPr>
      </w:pPr>
    </w:p>
    <w:p w14:paraId="64B783AC" w14:textId="797258CD" w:rsidR="00DF0280" w:rsidRPr="007F1F83" w:rsidRDefault="00DF0280" w:rsidP="00BF7C9D">
      <w:pPr>
        <w:pStyle w:val="ListParagraph"/>
        <w:numPr>
          <w:ilvl w:val="0"/>
          <w:numId w:val="1"/>
        </w:numPr>
        <w:suppressAutoHyphens/>
        <w:ind w:left="567" w:hanging="567"/>
        <w:rPr>
          <w:rFonts w:cs="Arial"/>
          <w:lang w:eastAsia="ar-SA"/>
        </w:rPr>
      </w:pPr>
      <w:r w:rsidRPr="007F1F83">
        <w:rPr>
          <w:rFonts w:cs="Arial"/>
          <w:i/>
          <w:iCs/>
          <w:szCs w:val="24"/>
          <w:lang w:eastAsia="ar-SA"/>
        </w:rPr>
        <w:t>The steps involved in meeting the needs of disabled persons that are different from the needs of persons who are not disabled include, in particular, steps to take account of disabled persons’ disabilities.</w:t>
      </w:r>
    </w:p>
    <w:p w14:paraId="32C59F4B" w14:textId="77777777" w:rsidR="00BF7C9D" w:rsidRPr="00BF7C9D" w:rsidRDefault="00BF7C9D" w:rsidP="007F1F83">
      <w:pPr>
        <w:pStyle w:val="ListParagraph"/>
        <w:suppressAutoHyphens/>
        <w:ind w:left="567"/>
        <w:rPr>
          <w:rFonts w:cs="Arial"/>
          <w:lang w:eastAsia="ar-SA"/>
        </w:rPr>
      </w:pPr>
    </w:p>
    <w:p w14:paraId="6F434F09" w14:textId="77777777" w:rsidR="00DF0280" w:rsidRPr="00711406" w:rsidRDefault="00DF0280" w:rsidP="007F1F83">
      <w:pPr>
        <w:pStyle w:val="ListParagraph"/>
        <w:numPr>
          <w:ilvl w:val="0"/>
          <w:numId w:val="1"/>
        </w:numPr>
        <w:suppressAutoHyphens/>
        <w:ind w:left="567" w:hanging="567"/>
        <w:rPr>
          <w:rFonts w:cs="Arial"/>
          <w:i/>
          <w:iCs/>
          <w:lang w:eastAsia="ar-SA"/>
        </w:rPr>
      </w:pPr>
      <w:r w:rsidRPr="00711406">
        <w:rPr>
          <w:rFonts w:cs="Arial"/>
          <w:i/>
          <w:iCs/>
          <w:lang w:eastAsia="ar-SA"/>
        </w:rPr>
        <w:t>Having due regard to the need to foster good relations between persons who share a relevant protected characteristic and persons who do not share it involves having due regard to the need to:</w:t>
      </w:r>
    </w:p>
    <w:p w14:paraId="0D6CBE81" w14:textId="77777777" w:rsidR="00DF0280" w:rsidRPr="00C775D1" w:rsidRDefault="00DF0280" w:rsidP="007F1F83">
      <w:pPr>
        <w:numPr>
          <w:ilvl w:val="0"/>
          <w:numId w:val="6"/>
        </w:numPr>
        <w:tabs>
          <w:tab w:val="clear" w:pos="1080"/>
          <w:tab w:val="num" w:pos="1134"/>
          <w:tab w:val="left" w:pos="1800"/>
        </w:tabs>
        <w:suppressAutoHyphens/>
        <w:ind w:left="1134" w:hanging="567"/>
        <w:jc w:val="both"/>
        <w:rPr>
          <w:rFonts w:cs="Arial"/>
          <w:i/>
          <w:iCs/>
          <w:szCs w:val="24"/>
          <w:lang w:eastAsia="ar-SA"/>
        </w:rPr>
      </w:pPr>
      <w:r w:rsidRPr="00C775D1">
        <w:rPr>
          <w:rFonts w:cs="Arial"/>
          <w:i/>
          <w:iCs/>
          <w:szCs w:val="24"/>
          <w:lang w:eastAsia="ar-SA"/>
        </w:rPr>
        <w:lastRenderedPageBreak/>
        <w:t>Tackle prejudice, and</w:t>
      </w:r>
    </w:p>
    <w:p w14:paraId="1FD51B74" w14:textId="7621FB86" w:rsidR="00DF0280" w:rsidRDefault="00DF0280" w:rsidP="00BF7C9D">
      <w:pPr>
        <w:numPr>
          <w:ilvl w:val="0"/>
          <w:numId w:val="6"/>
        </w:numPr>
        <w:tabs>
          <w:tab w:val="clear" w:pos="1080"/>
          <w:tab w:val="num" w:pos="1134"/>
        </w:tabs>
        <w:suppressAutoHyphens/>
        <w:ind w:left="1134" w:hanging="567"/>
        <w:jc w:val="both"/>
        <w:rPr>
          <w:rFonts w:cs="Arial"/>
          <w:i/>
          <w:iCs/>
          <w:szCs w:val="24"/>
          <w:lang w:eastAsia="ar-SA"/>
        </w:rPr>
      </w:pPr>
      <w:r w:rsidRPr="00C775D1">
        <w:rPr>
          <w:rFonts w:cs="Arial"/>
          <w:i/>
          <w:iCs/>
          <w:szCs w:val="24"/>
          <w:lang w:eastAsia="ar-SA"/>
        </w:rPr>
        <w:t>Promote understanding.</w:t>
      </w:r>
    </w:p>
    <w:p w14:paraId="10BB4682" w14:textId="77777777" w:rsidR="007F1F83" w:rsidRDefault="007F1F83" w:rsidP="00711406">
      <w:pPr>
        <w:suppressAutoHyphens/>
        <w:ind w:left="1134"/>
        <w:jc w:val="both"/>
        <w:rPr>
          <w:rFonts w:cs="Arial"/>
          <w:i/>
          <w:iCs/>
          <w:szCs w:val="24"/>
          <w:lang w:eastAsia="ar-SA"/>
        </w:rPr>
      </w:pPr>
    </w:p>
    <w:p w14:paraId="4D8AFAA5" w14:textId="77777777" w:rsidR="00DF0280" w:rsidRPr="007F1F83" w:rsidRDefault="00DF0280" w:rsidP="007F1F83">
      <w:pPr>
        <w:pStyle w:val="ListParagraph"/>
        <w:numPr>
          <w:ilvl w:val="0"/>
          <w:numId w:val="1"/>
        </w:numPr>
        <w:suppressAutoHyphens/>
        <w:ind w:left="567" w:hanging="567"/>
        <w:rPr>
          <w:rFonts w:cs="Arial"/>
          <w:i/>
          <w:iCs/>
          <w:szCs w:val="24"/>
          <w:lang w:eastAsia="ar-SA"/>
        </w:rPr>
      </w:pPr>
      <w:r w:rsidRPr="007F1F83">
        <w:rPr>
          <w:rFonts w:cs="Arial"/>
          <w:i/>
          <w:iCs/>
          <w:szCs w:val="24"/>
          <w:lang w:eastAsia="ar-SA"/>
        </w:rPr>
        <w:t xml:space="preserve">Compliance with the duties in this section may involve treating some persons more favourably than others; but that is not to be taken as permitting conduct that would otherwise be prohibited by or under this Act. </w:t>
      </w:r>
    </w:p>
    <w:p w14:paraId="67BE6D0C" w14:textId="77777777" w:rsidR="00DF0280" w:rsidRDefault="00DF0280" w:rsidP="007F1F83">
      <w:pPr>
        <w:suppressAutoHyphens/>
        <w:ind w:left="207"/>
        <w:jc w:val="both"/>
        <w:rPr>
          <w:rFonts w:cs="Arial"/>
          <w:i/>
          <w:iCs/>
          <w:szCs w:val="24"/>
          <w:lang w:eastAsia="ar-SA"/>
        </w:rPr>
      </w:pPr>
    </w:p>
    <w:p w14:paraId="0F6A4EC9" w14:textId="77777777" w:rsidR="00DF0280" w:rsidRPr="007F1F83" w:rsidRDefault="00DF0280" w:rsidP="007F1F83">
      <w:pPr>
        <w:pStyle w:val="ListParagraph"/>
        <w:numPr>
          <w:ilvl w:val="0"/>
          <w:numId w:val="1"/>
        </w:numPr>
        <w:suppressAutoHyphens/>
        <w:ind w:left="567" w:hanging="567"/>
        <w:jc w:val="both"/>
        <w:rPr>
          <w:rFonts w:cs="Arial"/>
          <w:i/>
          <w:iCs/>
          <w:szCs w:val="24"/>
          <w:lang w:eastAsia="ar-SA"/>
        </w:rPr>
      </w:pPr>
      <w:r w:rsidRPr="007F1F83">
        <w:rPr>
          <w:rFonts w:cs="Arial"/>
          <w:i/>
          <w:iCs/>
          <w:szCs w:val="24"/>
          <w:lang w:eastAsia="ar-SA"/>
        </w:rPr>
        <w:t>The relevant protected characteristics are:</w:t>
      </w:r>
    </w:p>
    <w:p w14:paraId="7C5D3E4C" w14:textId="77777777" w:rsidR="00DF0280" w:rsidRPr="00C775D1" w:rsidRDefault="00DF0280" w:rsidP="007F1F83">
      <w:pPr>
        <w:numPr>
          <w:ilvl w:val="0"/>
          <w:numId w:val="4"/>
        </w:numPr>
        <w:tabs>
          <w:tab w:val="clear" w:pos="348"/>
        </w:tabs>
        <w:suppressAutoHyphens/>
        <w:ind w:left="1560" w:hanging="284"/>
        <w:jc w:val="both"/>
        <w:rPr>
          <w:rFonts w:cs="Arial"/>
          <w:i/>
          <w:iCs/>
          <w:szCs w:val="24"/>
          <w:lang w:eastAsia="ar-SA"/>
        </w:rPr>
      </w:pPr>
      <w:r w:rsidRPr="00C775D1">
        <w:rPr>
          <w:rFonts w:cs="Arial"/>
          <w:i/>
          <w:iCs/>
          <w:szCs w:val="24"/>
          <w:lang w:eastAsia="ar-SA"/>
        </w:rPr>
        <w:t>Age</w:t>
      </w:r>
    </w:p>
    <w:p w14:paraId="202BDC2D" w14:textId="77777777" w:rsidR="00DF0280" w:rsidRPr="00C775D1" w:rsidRDefault="00DF0280" w:rsidP="007F1F83">
      <w:pPr>
        <w:numPr>
          <w:ilvl w:val="0"/>
          <w:numId w:val="4"/>
        </w:numPr>
        <w:tabs>
          <w:tab w:val="clear" w:pos="348"/>
        </w:tabs>
        <w:suppressAutoHyphens/>
        <w:ind w:left="1560" w:hanging="284"/>
        <w:jc w:val="both"/>
        <w:rPr>
          <w:rFonts w:cs="Arial"/>
          <w:i/>
          <w:iCs/>
          <w:szCs w:val="24"/>
          <w:lang w:eastAsia="ar-SA"/>
        </w:rPr>
      </w:pPr>
      <w:r w:rsidRPr="00C775D1">
        <w:rPr>
          <w:rFonts w:cs="Arial"/>
          <w:i/>
          <w:iCs/>
          <w:szCs w:val="24"/>
          <w:lang w:eastAsia="ar-SA"/>
        </w:rPr>
        <w:t>Disability</w:t>
      </w:r>
    </w:p>
    <w:p w14:paraId="4DAA79D9" w14:textId="77777777" w:rsidR="00DF0280" w:rsidRPr="00C775D1" w:rsidRDefault="00DF0280" w:rsidP="007F1F83">
      <w:pPr>
        <w:numPr>
          <w:ilvl w:val="0"/>
          <w:numId w:val="4"/>
        </w:numPr>
        <w:tabs>
          <w:tab w:val="clear" w:pos="348"/>
        </w:tabs>
        <w:suppressAutoHyphens/>
        <w:ind w:left="1560" w:hanging="284"/>
        <w:jc w:val="both"/>
        <w:rPr>
          <w:rFonts w:cs="Arial"/>
          <w:i/>
          <w:iCs/>
          <w:szCs w:val="24"/>
          <w:lang w:eastAsia="ar-SA"/>
        </w:rPr>
      </w:pPr>
      <w:r w:rsidRPr="00C775D1">
        <w:rPr>
          <w:rFonts w:cs="Arial"/>
          <w:i/>
          <w:iCs/>
          <w:szCs w:val="24"/>
          <w:lang w:eastAsia="ar-SA"/>
        </w:rPr>
        <w:t>Gender reassignment</w:t>
      </w:r>
    </w:p>
    <w:p w14:paraId="201148F5" w14:textId="77777777" w:rsidR="00DF0280" w:rsidRPr="00C775D1" w:rsidRDefault="00DF0280" w:rsidP="007F1F83">
      <w:pPr>
        <w:numPr>
          <w:ilvl w:val="0"/>
          <w:numId w:val="4"/>
        </w:numPr>
        <w:tabs>
          <w:tab w:val="clear" w:pos="348"/>
        </w:tabs>
        <w:suppressAutoHyphens/>
        <w:ind w:left="1560" w:hanging="284"/>
        <w:jc w:val="both"/>
        <w:rPr>
          <w:rFonts w:cs="Arial"/>
          <w:i/>
          <w:iCs/>
          <w:szCs w:val="24"/>
          <w:lang w:eastAsia="ar-SA"/>
        </w:rPr>
      </w:pPr>
      <w:r w:rsidRPr="00C775D1">
        <w:rPr>
          <w:rFonts w:cs="Arial"/>
          <w:i/>
          <w:iCs/>
          <w:szCs w:val="24"/>
          <w:lang w:eastAsia="ar-SA"/>
        </w:rPr>
        <w:t>Pregnancy and maternity</w:t>
      </w:r>
    </w:p>
    <w:p w14:paraId="5228B1A6" w14:textId="77777777" w:rsidR="00DF0280" w:rsidRPr="00C775D1" w:rsidRDefault="00DF0280" w:rsidP="007F1F83">
      <w:pPr>
        <w:numPr>
          <w:ilvl w:val="0"/>
          <w:numId w:val="4"/>
        </w:numPr>
        <w:tabs>
          <w:tab w:val="clear" w:pos="348"/>
        </w:tabs>
        <w:suppressAutoHyphens/>
        <w:ind w:left="1560" w:hanging="284"/>
        <w:jc w:val="both"/>
        <w:rPr>
          <w:rFonts w:cs="Arial"/>
          <w:i/>
          <w:iCs/>
          <w:szCs w:val="24"/>
          <w:lang w:eastAsia="ar-SA"/>
        </w:rPr>
      </w:pPr>
      <w:r>
        <w:rPr>
          <w:rFonts w:cs="Arial"/>
          <w:i/>
          <w:iCs/>
          <w:szCs w:val="24"/>
          <w:lang w:eastAsia="ar-SA"/>
        </w:rPr>
        <w:t>Race</w:t>
      </w:r>
    </w:p>
    <w:p w14:paraId="7E34148D" w14:textId="77777777" w:rsidR="00DF0280" w:rsidRPr="00C775D1" w:rsidRDefault="00DF0280" w:rsidP="007F1F83">
      <w:pPr>
        <w:numPr>
          <w:ilvl w:val="0"/>
          <w:numId w:val="4"/>
        </w:numPr>
        <w:tabs>
          <w:tab w:val="clear" w:pos="348"/>
        </w:tabs>
        <w:suppressAutoHyphens/>
        <w:ind w:left="1560" w:hanging="284"/>
        <w:jc w:val="both"/>
        <w:rPr>
          <w:rFonts w:cs="Arial"/>
          <w:i/>
          <w:iCs/>
          <w:szCs w:val="24"/>
          <w:lang w:eastAsia="ar-SA"/>
        </w:rPr>
      </w:pPr>
      <w:r w:rsidRPr="00C775D1">
        <w:rPr>
          <w:rFonts w:cs="Arial"/>
          <w:i/>
          <w:iCs/>
          <w:szCs w:val="24"/>
          <w:lang w:eastAsia="ar-SA"/>
        </w:rPr>
        <w:t>Religion or belief</w:t>
      </w:r>
    </w:p>
    <w:p w14:paraId="2F0570F7" w14:textId="77777777" w:rsidR="00DF0280" w:rsidRPr="00C775D1" w:rsidRDefault="00DF0280" w:rsidP="007F1F83">
      <w:pPr>
        <w:numPr>
          <w:ilvl w:val="0"/>
          <w:numId w:val="4"/>
        </w:numPr>
        <w:tabs>
          <w:tab w:val="clear" w:pos="348"/>
        </w:tabs>
        <w:suppressAutoHyphens/>
        <w:ind w:left="1560" w:hanging="284"/>
        <w:jc w:val="both"/>
        <w:rPr>
          <w:rFonts w:cs="Arial"/>
          <w:i/>
          <w:iCs/>
          <w:szCs w:val="24"/>
          <w:lang w:eastAsia="ar-SA"/>
        </w:rPr>
      </w:pPr>
      <w:r w:rsidRPr="00C775D1">
        <w:rPr>
          <w:rFonts w:cs="Arial"/>
          <w:i/>
          <w:iCs/>
          <w:szCs w:val="24"/>
          <w:lang w:eastAsia="ar-SA"/>
        </w:rPr>
        <w:t>Sex</w:t>
      </w:r>
    </w:p>
    <w:p w14:paraId="7ECB846D" w14:textId="77777777" w:rsidR="00DF0280" w:rsidRPr="00C775D1" w:rsidRDefault="00DF0280" w:rsidP="007F1F83">
      <w:pPr>
        <w:numPr>
          <w:ilvl w:val="0"/>
          <w:numId w:val="4"/>
        </w:numPr>
        <w:tabs>
          <w:tab w:val="clear" w:pos="348"/>
        </w:tabs>
        <w:suppressAutoHyphens/>
        <w:ind w:left="1560" w:hanging="284"/>
        <w:jc w:val="both"/>
        <w:rPr>
          <w:rFonts w:cs="Arial"/>
          <w:i/>
          <w:iCs/>
          <w:szCs w:val="24"/>
          <w:lang w:eastAsia="ar-SA"/>
        </w:rPr>
      </w:pPr>
      <w:r w:rsidRPr="00C775D1">
        <w:rPr>
          <w:rFonts w:cs="Arial"/>
          <w:i/>
          <w:iCs/>
          <w:szCs w:val="24"/>
          <w:lang w:eastAsia="ar-SA"/>
        </w:rPr>
        <w:t>Sexual orientation</w:t>
      </w:r>
    </w:p>
    <w:p w14:paraId="60A43B7D" w14:textId="77777777" w:rsidR="00DF0280" w:rsidRPr="00C775D1" w:rsidRDefault="00DF0280" w:rsidP="007F1F83">
      <w:pPr>
        <w:numPr>
          <w:ilvl w:val="0"/>
          <w:numId w:val="4"/>
        </w:numPr>
        <w:tabs>
          <w:tab w:val="clear" w:pos="348"/>
        </w:tabs>
        <w:suppressAutoHyphens/>
        <w:ind w:left="1560" w:hanging="284"/>
        <w:jc w:val="both"/>
        <w:rPr>
          <w:rFonts w:cs="Arial"/>
          <w:lang w:eastAsia="ar-SA"/>
        </w:rPr>
      </w:pPr>
      <w:r w:rsidRPr="00C775D1">
        <w:rPr>
          <w:rFonts w:cs="Arial"/>
          <w:i/>
          <w:iCs/>
          <w:szCs w:val="24"/>
          <w:lang w:eastAsia="ar-SA"/>
        </w:rPr>
        <w:t>Marriage and Civil partnership</w:t>
      </w:r>
    </w:p>
    <w:p w14:paraId="178B07D9" w14:textId="77777777" w:rsidR="00DF0280" w:rsidRPr="00C775D1" w:rsidRDefault="00DF0280" w:rsidP="007F1F83">
      <w:pPr>
        <w:ind w:left="1560" w:hanging="284"/>
        <w:jc w:val="both"/>
      </w:pPr>
    </w:p>
    <w:p w14:paraId="35014766" w14:textId="6A18B487" w:rsidR="009A2084" w:rsidRPr="009A2084" w:rsidRDefault="009A2084">
      <w:pPr>
        <w:pStyle w:val="Default"/>
        <w:numPr>
          <w:ilvl w:val="0"/>
          <w:numId w:val="1"/>
        </w:numPr>
        <w:ind w:left="567" w:hanging="567"/>
      </w:pPr>
      <w:r w:rsidRPr="009A2084">
        <w:t xml:space="preserve">Harrow’s schools are successful, inclusive and provide a diversity of provision. </w:t>
      </w:r>
      <w:r w:rsidR="00DF0280">
        <w:t xml:space="preserve"> </w:t>
      </w:r>
      <w:r w:rsidR="00511F7F">
        <w:t xml:space="preserve">Disability is one of the protected characteristics and this increased funding will enable improved provision to children with </w:t>
      </w:r>
      <w:r w:rsidR="006B0483">
        <w:t xml:space="preserve">ECHPs. </w:t>
      </w:r>
      <w:r w:rsidRPr="009A2084">
        <w:t xml:space="preserve">The school expansion programme will ensure sufficient school places for the increasing numbers of children in Harrow and will build on the successful provision that already exists in Harrow’s schools. By acting to ensure all children in Harrow have access to a high-quality school place, Harrow is promoting equality of opportunity for all children and young people. </w:t>
      </w:r>
      <w:r w:rsidR="0052272A">
        <w:t xml:space="preserve">A </w:t>
      </w:r>
      <w:r w:rsidR="00A8512C">
        <w:t>high-level</w:t>
      </w:r>
      <w:r w:rsidR="0052272A">
        <w:t xml:space="preserve"> equality impact assessment has been </w:t>
      </w:r>
      <w:r w:rsidR="00711406">
        <w:t>undertaken</w:t>
      </w:r>
      <w:r w:rsidR="0052272A">
        <w:t xml:space="preserve"> and has shown a positive impact for the protected characteristics of age and disability. </w:t>
      </w:r>
    </w:p>
    <w:p w14:paraId="3B1BDE3C" w14:textId="77777777" w:rsidR="002B3635" w:rsidRPr="00EC6FE9" w:rsidRDefault="002B3635" w:rsidP="002B3635">
      <w:pPr>
        <w:pStyle w:val="StyleHeading4Before12pt"/>
        <w:spacing w:before="480"/>
      </w:pPr>
      <w:r w:rsidRPr="00EC6FE9">
        <w:t>Council Priorities</w:t>
      </w:r>
    </w:p>
    <w:p w14:paraId="37296DFA" w14:textId="77777777" w:rsidR="002B3635" w:rsidRDefault="002B3635" w:rsidP="002B3635">
      <w:pPr>
        <w:rPr>
          <w:rFonts w:cs="Arial"/>
          <w:szCs w:val="24"/>
          <w:lang w:val="en-US"/>
        </w:rPr>
      </w:pPr>
    </w:p>
    <w:p w14:paraId="52D09BD9" w14:textId="16FEFCAA" w:rsidR="002B3635" w:rsidRPr="00752110" w:rsidRDefault="009A2084">
      <w:pPr>
        <w:pStyle w:val="ListParagraph"/>
        <w:numPr>
          <w:ilvl w:val="0"/>
          <w:numId w:val="1"/>
        </w:numPr>
        <w:ind w:left="567" w:hanging="567"/>
      </w:pPr>
      <w:r w:rsidRPr="009A2084">
        <w:rPr>
          <w:rFonts w:cs="Arial"/>
          <w:szCs w:val="24"/>
          <w:lang w:val="en-US"/>
        </w:rPr>
        <w:t>The recommendation contribute</w:t>
      </w:r>
      <w:r w:rsidR="00711406">
        <w:rPr>
          <w:rFonts w:cs="Arial"/>
          <w:szCs w:val="24"/>
          <w:lang w:val="en-US"/>
        </w:rPr>
        <w:t>s</w:t>
      </w:r>
      <w:r w:rsidRPr="009A2084">
        <w:rPr>
          <w:rFonts w:cs="Arial"/>
          <w:szCs w:val="24"/>
          <w:lang w:val="en-US"/>
        </w:rPr>
        <w:t xml:space="preserve"> to the Council’s priorities: </w:t>
      </w:r>
      <w:r w:rsidR="00A8512C">
        <w:rPr>
          <w:rFonts w:cs="Arial"/>
          <w:szCs w:val="24"/>
          <w:lang w:val="en-US"/>
        </w:rPr>
        <w:t>“</w:t>
      </w:r>
      <w:r w:rsidR="002B3635" w:rsidRPr="00752110">
        <w:t>A council that puts residents first</w:t>
      </w:r>
      <w:r w:rsidR="00A8512C">
        <w:t>”</w:t>
      </w:r>
      <w:r>
        <w:t xml:space="preserve">, and </w:t>
      </w:r>
      <w:r w:rsidR="00A8512C">
        <w:t>“</w:t>
      </w:r>
      <w:r>
        <w:t>A</w:t>
      </w:r>
      <w:r w:rsidR="002B3635" w:rsidRPr="00752110">
        <w:t xml:space="preserve"> place where those in need are supported</w:t>
      </w:r>
      <w:r w:rsidR="00A8512C">
        <w:t>”.</w:t>
      </w:r>
    </w:p>
    <w:p w14:paraId="1E9B447B" w14:textId="77777777" w:rsidR="00A71F05" w:rsidRDefault="00A71F05" w:rsidP="00575242">
      <w:pPr>
        <w:pStyle w:val="Heading2"/>
      </w:pPr>
      <w:r>
        <w:t>Section 3 - Statutory Officer Clearance</w:t>
      </w:r>
    </w:p>
    <w:p w14:paraId="7A11CE7C" w14:textId="11FA9A5F" w:rsidR="00575242" w:rsidRPr="00A66326" w:rsidRDefault="00575242" w:rsidP="00575242">
      <w:pPr>
        <w:spacing w:before="240"/>
        <w:rPr>
          <w:sz w:val="28"/>
        </w:rPr>
      </w:pPr>
      <w:r w:rsidRPr="00A66326">
        <w:rPr>
          <w:b/>
          <w:sz w:val="28"/>
        </w:rPr>
        <w:t xml:space="preserve">Statutory Officer:  </w:t>
      </w:r>
      <w:r w:rsidR="00711406">
        <w:rPr>
          <w:b/>
          <w:sz w:val="28"/>
        </w:rPr>
        <w:t>Dawn Calvert</w:t>
      </w:r>
    </w:p>
    <w:p w14:paraId="182B68EE" w14:textId="693F6DD2" w:rsidR="00575242" w:rsidRPr="00A66326" w:rsidRDefault="00575242" w:rsidP="00575242">
      <w:r w:rsidRPr="00A66326">
        <w:t>Signed by the Chief Financial Officer</w:t>
      </w:r>
    </w:p>
    <w:p w14:paraId="3A529D91" w14:textId="0C1061CB" w:rsidR="00575242" w:rsidRPr="00A66326" w:rsidRDefault="00575242" w:rsidP="00575242">
      <w:pPr>
        <w:spacing w:after="480"/>
        <w:rPr>
          <w:sz w:val="28"/>
        </w:rPr>
      </w:pPr>
      <w:r w:rsidRPr="00A66326">
        <w:rPr>
          <w:b/>
          <w:sz w:val="28"/>
        </w:rPr>
        <w:t xml:space="preserve">Date:  </w:t>
      </w:r>
      <w:r w:rsidR="00711406">
        <w:rPr>
          <w:b/>
          <w:sz w:val="28"/>
        </w:rPr>
        <w:t>30 May 2023</w:t>
      </w:r>
    </w:p>
    <w:p w14:paraId="0E738983" w14:textId="0DEA47E6" w:rsidR="00575242" w:rsidRPr="00A66326" w:rsidRDefault="00575242" w:rsidP="00575242">
      <w:pPr>
        <w:rPr>
          <w:sz w:val="28"/>
        </w:rPr>
      </w:pPr>
      <w:r w:rsidRPr="00A66326">
        <w:rPr>
          <w:b/>
          <w:sz w:val="28"/>
        </w:rPr>
        <w:t xml:space="preserve">Statutory Officer:  </w:t>
      </w:r>
      <w:r w:rsidR="00711406">
        <w:rPr>
          <w:b/>
          <w:sz w:val="28"/>
        </w:rPr>
        <w:t>Jessica Farmer</w:t>
      </w:r>
    </w:p>
    <w:p w14:paraId="04B2C90B" w14:textId="4F2FCFDC" w:rsidR="00575242" w:rsidRPr="00A66326" w:rsidRDefault="00575242" w:rsidP="00575242">
      <w:pPr>
        <w:rPr>
          <w:sz w:val="28"/>
        </w:rPr>
      </w:pPr>
      <w:r w:rsidRPr="00A66326">
        <w:t>Signed by the Monitoring Officer</w:t>
      </w:r>
    </w:p>
    <w:p w14:paraId="59D76F71" w14:textId="4149D4AC" w:rsidR="00575242" w:rsidRPr="003313EA" w:rsidRDefault="00575242" w:rsidP="00575242">
      <w:pPr>
        <w:spacing w:after="480"/>
        <w:rPr>
          <w:sz w:val="28"/>
        </w:rPr>
      </w:pPr>
      <w:r w:rsidRPr="00A66326">
        <w:rPr>
          <w:b/>
          <w:sz w:val="28"/>
        </w:rPr>
        <w:t xml:space="preserve">Date:  </w:t>
      </w:r>
      <w:r w:rsidR="00711406">
        <w:rPr>
          <w:b/>
          <w:sz w:val="28"/>
        </w:rPr>
        <w:t>26 May 2023</w:t>
      </w:r>
    </w:p>
    <w:p w14:paraId="4B40BF26" w14:textId="491B8D7B" w:rsidR="00575242" w:rsidRPr="003313EA" w:rsidRDefault="009B4288" w:rsidP="00575242">
      <w:pPr>
        <w:rPr>
          <w:sz w:val="28"/>
        </w:rPr>
      </w:pPr>
      <w:r>
        <w:rPr>
          <w:b/>
          <w:sz w:val="28"/>
        </w:rPr>
        <w:lastRenderedPageBreak/>
        <w:t>Head of Procurement</w:t>
      </w:r>
      <w:r w:rsidR="00575242" w:rsidRPr="00A66326">
        <w:rPr>
          <w:b/>
          <w:sz w:val="28"/>
        </w:rPr>
        <w:t xml:space="preserve">:  </w:t>
      </w:r>
      <w:r w:rsidR="00711406">
        <w:rPr>
          <w:b/>
          <w:sz w:val="28"/>
        </w:rPr>
        <w:t>Nimesh Mehta</w:t>
      </w:r>
    </w:p>
    <w:p w14:paraId="0DF201D4" w14:textId="7E0ED2B5" w:rsidR="00575242" w:rsidRPr="003313EA" w:rsidRDefault="00575242" w:rsidP="00575242">
      <w:r w:rsidRPr="003313EA">
        <w:t>Signed by the Head of Procurement</w:t>
      </w:r>
    </w:p>
    <w:p w14:paraId="58A700BB" w14:textId="6FEFDDF3" w:rsidR="00575242" w:rsidRDefault="00575242" w:rsidP="00575242">
      <w:pPr>
        <w:spacing w:after="480"/>
        <w:rPr>
          <w:b/>
          <w:sz w:val="28"/>
        </w:rPr>
      </w:pPr>
      <w:r w:rsidRPr="00A66326">
        <w:rPr>
          <w:b/>
          <w:sz w:val="28"/>
        </w:rPr>
        <w:t xml:space="preserve">Date:  </w:t>
      </w:r>
      <w:r w:rsidR="00711406">
        <w:rPr>
          <w:b/>
          <w:sz w:val="28"/>
        </w:rPr>
        <w:t>25 May 2023</w:t>
      </w:r>
    </w:p>
    <w:p w14:paraId="2F323D16" w14:textId="25BDF3C5" w:rsidR="00A8512C" w:rsidRPr="003313EA" w:rsidRDefault="00A8512C" w:rsidP="00A8512C">
      <w:pPr>
        <w:rPr>
          <w:sz w:val="28"/>
        </w:rPr>
      </w:pPr>
      <w:r>
        <w:rPr>
          <w:b/>
          <w:sz w:val="28"/>
        </w:rPr>
        <w:t>Head of Procurement</w:t>
      </w:r>
      <w:r w:rsidRPr="00A66326">
        <w:rPr>
          <w:b/>
          <w:sz w:val="28"/>
        </w:rPr>
        <w:t xml:space="preserve">:  </w:t>
      </w:r>
      <w:r>
        <w:rPr>
          <w:b/>
          <w:sz w:val="28"/>
        </w:rPr>
        <w:t>Neale Burns</w:t>
      </w:r>
    </w:p>
    <w:p w14:paraId="355E3E93" w14:textId="10F5078E" w:rsidR="00A8512C" w:rsidRPr="003313EA" w:rsidRDefault="00A8512C" w:rsidP="00A8512C">
      <w:r w:rsidRPr="003313EA">
        <w:t xml:space="preserve">Signed </w:t>
      </w:r>
      <w:r>
        <w:t xml:space="preserve">on behalf of the Head of </w:t>
      </w:r>
      <w:r w:rsidR="004F1C82">
        <w:t xml:space="preserve">Internal </w:t>
      </w:r>
      <w:r>
        <w:t xml:space="preserve">Audit </w:t>
      </w:r>
    </w:p>
    <w:p w14:paraId="6022B979" w14:textId="0EB31C3E" w:rsidR="00A8512C" w:rsidRPr="00A66326" w:rsidRDefault="00A8512C" w:rsidP="00575242">
      <w:pPr>
        <w:spacing w:after="480"/>
        <w:rPr>
          <w:sz w:val="28"/>
        </w:rPr>
      </w:pPr>
      <w:r w:rsidRPr="00A66326">
        <w:rPr>
          <w:b/>
          <w:sz w:val="28"/>
        </w:rPr>
        <w:t xml:space="preserve">Date:  </w:t>
      </w:r>
      <w:r>
        <w:rPr>
          <w:b/>
          <w:sz w:val="28"/>
        </w:rPr>
        <w:t>30</w:t>
      </w:r>
      <w:r>
        <w:rPr>
          <w:b/>
          <w:sz w:val="28"/>
        </w:rPr>
        <w:t xml:space="preserve"> May 2023</w:t>
      </w:r>
    </w:p>
    <w:p w14:paraId="26D28DE7" w14:textId="10DB90D3" w:rsidR="00575242" w:rsidRPr="00A66326" w:rsidRDefault="009B4288" w:rsidP="00575242">
      <w:pPr>
        <w:spacing w:before="240"/>
        <w:rPr>
          <w:sz w:val="28"/>
        </w:rPr>
      </w:pPr>
      <w:r>
        <w:rPr>
          <w:b/>
          <w:sz w:val="28"/>
        </w:rPr>
        <w:t>Chief</w:t>
      </w:r>
      <w:r w:rsidR="00575242" w:rsidRPr="00A66326">
        <w:rPr>
          <w:b/>
          <w:sz w:val="28"/>
        </w:rPr>
        <w:t xml:space="preserve"> Officer:  </w:t>
      </w:r>
      <w:r w:rsidR="00711406">
        <w:rPr>
          <w:b/>
          <w:sz w:val="28"/>
        </w:rPr>
        <w:t>Senel Arkut</w:t>
      </w:r>
    </w:p>
    <w:p w14:paraId="769A9854" w14:textId="77777777" w:rsidR="00575242" w:rsidRPr="00A66326" w:rsidRDefault="00575242" w:rsidP="00575242">
      <w:r>
        <w:t>Signed</w:t>
      </w:r>
      <w:r w:rsidRPr="00A66326">
        <w:t xml:space="preserve"> by the Corporate Director</w:t>
      </w:r>
    </w:p>
    <w:p w14:paraId="66DBB6D6" w14:textId="0B3A46F7" w:rsidR="00575242" w:rsidRPr="00A66326" w:rsidRDefault="00575242" w:rsidP="00575242">
      <w:pPr>
        <w:spacing w:after="480"/>
        <w:rPr>
          <w:sz w:val="28"/>
        </w:rPr>
      </w:pPr>
      <w:r w:rsidRPr="00A66326">
        <w:rPr>
          <w:b/>
          <w:sz w:val="28"/>
        </w:rPr>
        <w:t xml:space="preserve">Date:  </w:t>
      </w:r>
      <w:r w:rsidR="009C3940">
        <w:rPr>
          <w:b/>
          <w:sz w:val="28"/>
        </w:rPr>
        <w:t>25</w:t>
      </w:r>
      <w:r w:rsidR="00711406">
        <w:rPr>
          <w:b/>
          <w:sz w:val="28"/>
        </w:rPr>
        <w:t xml:space="preserve"> May 2023</w:t>
      </w:r>
    </w:p>
    <w:p w14:paraId="16021D4A" w14:textId="77777777" w:rsidR="00575242" w:rsidRPr="00435B5D" w:rsidRDefault="00575242" w:rsidP="00575242">
      <w:pPr>
        <w:pStyle w:val="Heading2"/>
      </w:pPr>
      <w:r>
        <w:t>Mandatory Checks</w:t>
      </w:r>
    </w:p>
    <w:p w14:paraId="6A2A68C9" w14:textId="7889C26D" w:rsidR="00575242" w:rsidRPr="00A406F3" w:rsidRDefault="00575242" w:rsidP="00575242">
      <w:pPr>
        <w:pStyle w:val="Heading3"/>
        <w:jc w:val="left"/>
      </w:pPr>
      <w:r w:rsidRPr="003313EA">
        <w:t xml:space="preserve">Ward Councillors </w:t>
      </w:r>
      <w:r>
        <w:t xml:space="preserve">notified:  </w:t>
      </w:r>
      <w:r w:rsidRPr="00A406F3">
        <w:t>NO</w:t>
      </w:r>
      <w:r w:rsidRPr="00333FAA">
        <w:t>, as it impacts on all Wards</w:t>
      </w:r>
      <w:r w:rsidRPr="00A406F3">
        <w:t xml:space="preserve"> </w:t>
      </w:r>
    </w:p>
    <w:p w14:paraId="20E938D7" w14:textId="084F39AA" w:rsidR="00575242" w:rsidRPr="00202D79" w:rsidRDefault="00575242" w:rsidP="00575242">
      <w:pPr>
        <w:pStyle w:val="Heading3"/>
        <w:rPr>
          <w:b w:val="0"/>
        </w:rPr>
      </w:pPr>
      <w:r w:rsidRPr="00202D79">
        <w:t>EqIA carried out:</w:t>
      </w:r>
      <w:r>
        <w:t xml:space="preserve">  </w:t>
      </w:r>
      <w:r w:rsidRPr="00202D79">
        <w:t>NO</w:t>
      </w:r>
    </w:p>
    <w:p w14:paraId="10CFDA50" w14:textId="07B5D3DE" w:rsidR="00575242" w:rsidRPr="00303FD6" w:rsidRDefault="00575242" w:rsidP="00575242">
      <w:pPr>
        <w:pStyle w:val="Heading3"/>
        <w:jc w:val="left"/>
        <w:rPr>
          <w:color w:val="FF0000"/>
        </w:rPr>
      </w:pPr>
      <w:r w:rsidRPr="00202D79">
        <w:t>EqIA cleared by:</w:t>
      </w:r>
      <w:r>
        <w:t xml:space="preserve">  </w:t>
      </w:r>
      <w:r w:rsidR="00F75088">
        <w:t>N/A</w:t>
      </w:r>
    </w:p>
    <w:p w14:paraId="10F6E8B0" w14:textId="77777777" w:rsidR="00575242" w:rsidRDefault="00575242" w:rsidP="00575242">
      <w:pPr>
        <w:pStyle w:val="Heading2"/>
      </w:pPr>
      <w:r>
        <w:t>Section 4 - Contact Details and Background Papers</w:t>
      </w:r>
    </w:p>
    <w:p w14:paraId="6B494F33" w14:textId="58FA7673" w:rsidR="00575242" w:rsidRPr="00F75088" w:rsidRDefault="00575242" w:rsidP="00575242">
      <w:pPr>
        <w:pStyle w:val="Infotext"/>
        <w:spacing w:after="240"/>
      </w:pPr>
      <w:r w:rsidRPr="004E47FC">
        <w:rPr>
          <w:b/>
        </w:rPr>
        <w:t xml:space="preserve">Contact:  </w:t>
      </w:r>
      <w:r w:rsidR="009A2084" w:rsidRPr="00F75088">
        <w:t>Patrick O’Dwyer</w:t>
      </w:r>
      <w:r w:rsidRPr="00F75088">
        <w:t xml:space="preserve">, </w:t>
      </w:r>
      <w:r w:rsidR="009A2084" w:rsidRPr="00F75088">
        <w:t>Director of Education</w:t>
      </w:r>
      <w:r w:rsidRPr="00F75088">
        <w:t xml:space="preserve">, </w:t>
      </w:r>
      <w:r w:rsidR="009A2084" w:rsidRPr="00F75088">
        <w:t>patrick.odwyer @harrow.gov.u</w:t>
      </w:r>
      <w:r w:rsidR="00A8512C">
        <w:t xml:space="preserve">k   </w:t>
      </w:r>
    </w:p>
    <w:p w14:paraId="02C7524D" w14:textId="3669D262" w:rsidR="00391410" w:rsidRPr="00C310A7" w:rsidRDefault="00575242" w:rsidP="00DB187E">
      <w:pPr>
        <w:pStyle w:val="Infotext"/>
        <w:spacing w:after="240"/>
        <w:rPr>
          <w:rFonts w:ascii="Calibri" w:hAnsi="Calibri"/>
          <w:iCs/>
          <w:szCs w:val="24"/>
          <w:lang w:eastAsia="en-GB"/>
        </w:rPr>
      </w:pPr>
      <w:r w:rsidRPr="004E47FC">
        <w:rPr>
          <w:b/>
        </w:rPr>
        <w:t xml:space="preserve">Background Papers: </w:t>
      </w:r>
      <w:r>
        <w:rPr>
          <w:b/>
        </w:rPr>
        <w:t xml:space="preserve"> </w:t>
      </w:r>
      <w:r w:rsidR="00DB187E" w:rsidRPr="00DB187E">
        <w:t>None</w:t>
      </w:r>
    </w:p>
    <w:p w14:paraId="6FD07440" w14:textId="77777777" w:rsidR="00ED16C0" w:rsidRDefault="00ED16C0" w:rsidP="00872E2C">
      <w:pPr>
        <w:pStyle w:val="Heading2"/>
      </w:pPr>
      <w:r>
        <w:t>For Leader</w:t>
      </w:r>
    </w:p>
    <w:p w14:paraId="2B08B7EF" w14:textId="77777777" w:rsidR="00872E2C" w:rsidRDefault="00872E2C" w:rsidP="00AD3194">
      <w:pPr>
        <w:rPr>
          <w:rFonts w:cs="Arial"/>
        </w:rPr>
      </w:pPr>
      <w:r>
        <w:rPr>
          <w:rFonts w:cs="Arial"/>
        </w:rPr>
        <w:t>* I do agree to the decision proposed</w:t>
      </w:r>
    </w:p>
    <w:p w14:paraId="088508E5" w14:textId="77777777" w:rsidR="00872E2C" w:rsidRDefault="00872E2C" w:rsidP="00872E2C">
      <w:pPr>
        <w:spacing w:before="480"/>
        <w:rPr>
          <w:rFonts w:cs="Arial"/>
        </w:rPr>
      </w:pPr>
      <w:r>
        <w:rPr>
          <w:rFonts w:cs="Arial"/>
        </w:rPr>
        <w:t>* I do not agree to the decision proposed</w:t>
      </w:r>
    </w:p>
    <w:p w14:paraId="72B2EE17" w14:textId="77777777" w:rsidR="00872E2C" w:rsidRPr="00872E2C" w:rsidRDefault="00872E2C" w:rsidP="00872E2C">
      <w:pPr>
        <w:spacing w:before="480"/>
        <w:rPr>
          <w:rFonts w:cs="Arial"/>
          <w:i/>
        </w:rPr>
      </w:pPr>
      <w:r w:rsidRPr="00315EC9">
        <w:rPr>
          <w:rFonts w:cs="Arial"/>
          <w:i/>
        </w:rPr>
        <w:t xml:space="preserve">* Please </w:t>
      </w:r>
      <w:r w:rsidRPr="00872E2C">
        <w:rPr>
          <w:rFonts w:cs="Arial"/>
        </w:rPr>
        <w:t>delete</w:t>
      </w:r>
      <w:r w:rsidRPr="00315EC9">
        <w:rPr>
          <w:rFonts w:cs="Arial"/>
          <w:i/>
        </w:rPr>
        <w:t xml:space="preserve"> as appropriate</w:t>
      </w:r>
    </w:p>
    <w:p w14:paraId="5564CB56" w14:textId="77777777" w:rsidR="00872E2C" w:rsidRDefault="00872E2C" w:rsidP="00872E2C">
      <w:pPr>
        <w:spacing w:before="480"/>
        <w:rPr>
          <w:rFonts w:cs="Arial"/>
        </w:rPr>
      </w:pPr>
      <w:r w:rsidRPr="00A90B97">
        <w:rPr>
          <w:rFonts w:cs="Arial"/>
        </w:rPr>
        <w:t xml:space="preserve">Notification of </w:t>
      </w:r>
      <w:r>
        <w:rPr>
          <w:rFonts w:cs="Arial"/>
        </w:rPr>
        <w:t xml:space="preserve">disclosable non-pecuniary and </w:t>
      </w:r>
      <w:r w:rsidRPr="00872E2C">
        <w:rPr>
          <w:rFonts w:cs="Arial"/>
          <w:i/>
        </w:rPr>
        <w:t>pecuniary</w:t>
      </w:r>
      <w:r w:rsidRPr="00A90B97">
        <w:rPr>
          <w:rFonts w:cs="Arial"/>
        </w:rPr>
        <w:t xml:space="preserve"> interests (if any):</w:t>
      </w:r>
    </w:p>
    <w:p w14:paraId="16D97A23" w14:textId="77777777" w:rsidR="00872E2C" w:rsidRPr="00A90B97" w:rsidRDefault="00872E2C" w:rsidP="00872E2C">
      <w:pPr>
        <w:spacing w:before="480"/>
        <w:rPr>
          <w:rFonts w:cs="Arial"/>
        </w:rPr>
      </w:pPr>
      <w:r>
        <w:rPr>
          <w:rFonts w:cs="Arial"/>
        </w:rPr>
        <w:t xml:space="preserve">[Should you have a </w:t>
      </w:r>
      <w:r w:rsidRPr="00872E2C">
        <w:rPr>
          <w:rFonts w:cs="Arial"/>
          <w:i/>
        </w:rPr>
        <w:t>disclosable</w:t>
      </w:r>
      <w:r>
        <w:rPr>
          <w:rFonts w:cs="Arial"/>
        </w:rPr>
        <w:t xml:space="preserve"> pecuniary interest, you should not take this decision.]</w:t>
      </w:r>
    </w:p>
    <w:p w14:paraId="302F46AA" w14:textId="77777777" w:rsidR="00872E2C" w:rsidRDefault="00872E2C" w:rsidP="00872E2C">
      <w:pPr>
        <w:tabs>
          <w:tab w:val="left" w:pos="1260"/>
        </w:tabs>
        <w:spacing w:before="240"/>
        <w:rPr>
          <w:rFonts w:cs="Arial"/>
        </w:rPr>
      </w:pPr>
      <w:r>
        <w:rPr>
          <w:rFonts w:cs="Arial"/>
        </w:rPr>
        <w:lastRenderedPageBreak/>
        <w:t>Additional comments made by and/or options considered by the Portfolio Holder</w:t>
      </w:r>
    </w:p>
    <w:p w14:paraId="20B6B935" w14:textId="77777777" w:rsidR="00872E2C" w:rsidRDefault="00872E2C" w:rsidP="00872E2C">
      <w:pPr>
        <w:spacing w:before="480"/>
        <w:rPr>
          <w:rFonts w:cs="Arial"/>
        </w:rPr>
      </w:pPr>
      <w:r>
        <w:rPr>
          <w:rFonts w:cs="Arial"/>
        </w:rPr>
        <w:t>Signature:  …………………………………………………………………………</w:t>
      </w:r>
    </w:p>
    <w:p w14:paraId="1CEBEABE" w14:textId="77777777" w:rsidR="00872E2C" w:rsidRDefault="00872E2C" w:rsidP="00872E2C">
      <w:pPr>
        <w:tabs>
          <w:tab w:val="left" w:pos="1080"/>
        </w:tabs>
        <w:spacing w:after="240"/>
        <w:rPr>
          <w:rFonts w:cs="Arial"/>
          <w:iCs/>
        </w:rPr>
      </w:pPr>
      <w:r>
        <w:rPr>
          <w:rFonts w:cs="Arial"/>
          <w:iCs/>
        </w:rPr>
        <w:tab/>
        <w:t>Leader</w:t>
      </w:r>
    </w:p>
    <w:p w14:paraId="21992F40" w14:textId="77777777" w:rsidR="00ED16C0" w:rsidRDefault="00872E2C" w:rsidP="00872E2C">
      <w:pPr>
        <w:spacing w:after="480"/>
      </w:pPr>
      <w:r>
        <w:rPr>
          <w:rFonts w:cs="Arial"/>
        </w:rPr>
        <w:t>Date:  ……………………………………………………</w:t>
      </w:r>
    </w:p>
    <w:p w14:paraId="0CB674E2" w14:textId="77777777" w:rsidR="00872E2C" w:rsidRPr="007C0DC3" w:rsidRDefault="00872E2C" w:rsidP="00872E2C">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p>
    <w:p w14:paraId="4EAEB248" w14:textId="14890E67" w:rsidR="00872E2C" w:rsidRPr="003D78F6" w:rsidRDefault="00872E2C" w:rsidP="00872E2C">
      <w:pPr>
        <w:pStyle w:val="Infotext"/>
        <w:rPr>
          <w:i/>
          <w:sz w:val="24"/>
          <w:szCs w:val="24"/>
        </w:rPr>
      </w:pPr>
    </w:p>
    <w:p w14:paraId="65355C88" w14:textId="65FEF2F3" w:rsidR="004F1C82" w:rsidRDefault="00872E2C" w:rsidP="004F1C82">
      <w:pPr>
        <w:pStyle w:val="Infotext"/>
        <w:spacing w:before="240"/>
        <w:rPr>
          <w:lang w:val="en-US"/>
        </w:rPr>
      </w:pPr>
      <w:r w:rsidRPr="003D78F6">
        <w:rPr>
          <w:b/>
        </w:rPr>
        <w:t>YES</w:t>
      </w:r>
      <w:r w:rsidR="004F1C82">
        <w:rPr>
          <w:b/>
        </w:rPr>
        <w:t xml:space="preserve"> - </w:t>
      </w:r>
      <w:r w:rsidR="004F1C82" w:rsidRPr="00CB0AFA">
        <w:rPr>
          <w:lang w:val="en-US"/>
        </w:rPr>
        <w:t xml:space="preserve">The decision will enable the immediate engagement of schools in the Special Educational Needs and Disabilities </w:t>
      </w:r>
      <w:r w:rsidR="004F1C82">
        <w:rPr>
          <w:lang w:val="en-US"/>
        </w:rPr>
        <w:t>(</w:t>
      </w:r>
      <w:r w:rsidR="004F1C82" w:rsidRPr="00CB0AFA">
        <w:rPr>
          <w:lang w:val="en-US"/>
        </w:rPr>
        <w:t>SEND</w:t>
      </w:r>
      <w:r w:rsidR="004F1C82">
        <w:rPr>
          <w:lang w:val="en-US"/>
        </w:rPr>
        <w:t>)</w:t>
      </w:r>
      <w:r w:rsidR="004F1C82" w:rsidRPr="00CB0AFA">
        <w:rPr>
          <w:lang w:val="en-US"/>
        </w:rPr>
        <w:t xml:space="preserve"> Funding Reviews, which inform funding </w:t>
      </w:r>
      <w:r w:rsidR="004F1C82">
        <w:rPr>
          <w:lang w:val="en-US"/>
        </w:rPr>
        <w:t xml:space="preserve">for </w:t>
      </w:r>
      <w:r w:rsidR="004F1C82" w:rsidRPr="00CB0AFA">
        <w:rPr>
          <w:lang w:val="en-US"/>
        </w:rPr>
        <w:t xml:space="preserve">2024-25. </w:t>
      </w:r>
    </w:p>
    <w:p w14:paraId="3A4ADE0D" w14:textId="77777777" w:rsidR="004F1C82" w:rsidRPr="00872E2C" w:rsidRDefault="004F1C82" w:rsidP="004F1C82">
      <w:pPr>
        <w:pStyle w:val="Infotext"/>
        <w:spacing w:before="240"/>
        <w:rPr>
          <w:rFonts w:cs="Arial"/>
          <w:i/>
          <w:sz w:val="24"/>
          <w:szCs w:val="24"/>
          <w:lang w:eastAsia="en-GB"/>
        </w:rPr>
      </w:pPr>
    </w:p>
    <w:sectPr w:rsidR="004F1C82" w:rsidRPr="00872E2C" w:rsidSect="00596DDC">
      <w:headerReference w:type="default" r:id="rId19"/>
      <w:footerReference w:type="default" r:id="rId20"/>
      <w:type w:val="continuous"/>
      <w:pgSz w:w="11909" w:h="16834" w:code="9"/>
      <w:pgMar w:top="864" w:right="1800" w:bottom="1440" w:left="1800" w:header="100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4C392" w14:textId="77777777" w:rsidR="0059281F" w:rsidRDefault="0059281F">
      <w:r>
        <w:separator/>
      </w:r>
    </w:p>
  </w:endnote>
  <w:endnote w:type="continuationSeparator" w:id="0">
    <w:p w14:paraId="40DCB71E" w14:textId="77777777" w:rsidR="0059281F" w:rsidRDefault="00592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6E731" w14:textId="77777777" w:rsidR="00391410" w:rsidRDefault="00391410" w:rsidP="00D4290D">
    <w:pPr>
      <w:pStyle w:val="Footer"/>
      <w:framePr w:wrap="around" w:vAnchor="text" w:hAnchor="margin" w:xAlign="right" w:y="1"/>
      <w:rPr>
        <w:rStyle w:val="PageNumber"/>
      </w:rPr>
    </w:pPr>
  </w:p>
  <w:p w14:paraId="7EF04360" w14:textId="77777777" w:rsidR="00391410" w:rsidRDefault="00391410" w:rsidP="00A1507D">
    <w:pPr>
      <w:pStyle w:val="Footer"/>
      <w:tabs>
        <w:tab w:val="clear" w:pos="4153"/>
        <w:tab w:val="clear" w:pos="8306"/>
      </w:tabs>
      <w:ind w:right="360"/>
      <w:jc w:val="right"/>
      <w:rPr>
        <w:rFonts w:cs="Arial"/>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79F02" w14:textId="77777777" w:rsidR="00391410" w:rsidRDefault="00391410" w:rsidP="00A8512C">
    <w:pPr>
      <w:pStyle w:val="Footer"/>
      <w:tabs>
        <w:tab w:val="clear" w:pos="4153"/>
        <w:tab w:val="clear" w:pos="8306"/>
      </w:tabs>
      <w:ind w:right="360"/>
      <w:rPr>
        <w:rFonts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3CD39" w14:textId="77777777" w:rsidR="0059281F" w:rsidRDefault="0059281F">
      <w:r>
        <w:separator/>
      </w:r>
    </w:p>
  </w:footnote>
  <w:footnote w:type="continuationSeparator" w:id="0">
    <w:p w14:paraId="265D5D09" w14:textId="77777777" w:rsidR="0059281F" w:rsidRDefault="00592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B083F" w14:textId="77777777" w:rsidR="00391410" w:rsidRDefault="003914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17"/>
    <w:lvl w:ilvl="0">
      <w:start w:val="1"/>
      <w:numFmt w:val="bullet"/>
      <w:lvlText w:val=""/>
      <w:lvlJc w:val="left"/>
      <w:pPr>
        <w:tabs>
          <w:tab w:val="num" w:pos="348"/>
        </w:tabs>
        <w:ind w:left="348" w:hanging="360"/>
      </w:pPr>
      <w:rPr>
        <w:rFonts w:ascii="Symbol" w:hAnsi="Symbol" w:cs="Symbol"/>
        <w:color w:val="auto"/>
      </w:rPr>
    </w:lvl>
  </w:abstractNum>
  <w:abstractNum w:abstractNumId="1" w15:restartNumberingAfterBreak="0">
    <w:nsid w:val="0000000A"/>
    <w:multiLevelType w:val="multilevel"/>
    <w:tmpl w:val="0000000A"/>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F"/>
    <w:multiLevelType w:val="singleLevel"/>
    <w:tmpl w:val="0000000F"/>
    <w:name w:val="WW8Num27"/>
    <w:lvl w:ilvl="0">
      <w:start w:val="1"/>
      <w:numFmt w:val="lowerLetter"/>
      <w:lvlText w:val="(%1)"/>
      <w:lvlJc w:val="left"/>
      <w:pPr>
        <w:tabs>
          <w:tab w:val="num" w:pos="1080"/>
        </w:tabs>
        <w:ind w:left="1080" w:hanging="360"/>
      </w:pPr>
    </w:lvl>
  </w:abstractNum>
  <w:abstractNum w:abstractNumId="3" w15:restartNumberingAfterBreak="0">
    <w:nsid w:val="00000014"/>
    <w:multiLevelType w:val="singleLevel"/>
    <w:tmpl w:val="00000014"/>
    <w:name w:val="WW8Num36"/>
    <w:lvl w:ilvl="0">
      <w:start w:val="1"/>
      <w:numFmt w:val="lowerLetter"/>
      <w:lvlText w:val="(%1)"/>
      <w:lvlJc w:val="left"/>
      <w:pPr>
        <w:tabs>
          <w:tab w:val="num" w:pos="720"/>
        </w:tabs>
        <w:ind w:left="720" w:hanging="360"/>
      </w:pPr>
    </w:lvl>
  </w:abstractNum>
  <w:abstractNum w:abstractNumId="4" w15:restartNumberingAfterBreak="0">
    <w:nsid w:val="02F944C6"/>
    <w:multiLevelType w:val="hybridMultilevel"/>
    <w:tmpl w:val="57AA93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368539D"/>
    <w:multiLevelType w:val="hybridMultilevel"/>
    <w:tmpl w:val="F49826EC"/>
    <w:lvl w:ilvl="0" w:tplc="8EA02002">
      <w:start w:val="1"/>
      <w:numFmt w:val="decimal"/>
      <w:lvlText w:val="%1."/>
      <w:lvlJc w:val="left"/>
      <w:pPr>
        <w:ind w:left="360" w:hanging="360"/>
      </w:pPr>
      <w:rPr>
        <w:rFonts w:hint="default"/>
      </w:rPr>
    </w:lvl>
    <w:lvl w:ilvl="1" w:tplc="9D869E1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876B5E"/>
    <w:multiLevelType w:val="multilevel"/>
    <w:tmpl w:val="9F8663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F01599"/>
    <w:multiLevelType w:val="hybridMultilevel"/>
    <w:tmpl w:val="78921A46"/>
    <w:lvl w:ilvl="0" w:tplc="08090001">
      <w:start w:val="1"/>
      <w:numFmt w:val="bullet"/>
      <w:lvlText w:val=""/>
      <w:lvlJc w:val="left"/>
      <w:pPr>
        <w:ind w:left="927" w:hanging="360"/>
      </w:pPr>
      <w:rPr>
        <w:rFonts w:ascii="Symbol" w:hAnsi="Symbol" w:hint="default"/>
      </w:rPr>
    </w:lvl>
    <w:lvl w:ilvl="1" w:tplc="4D02ADC4">
      <w:start w:val="1"/>
      <w:numFmt w:val="decimal"/>
      <w:lvlText w:val="%2."/>
      <w:lvlJc w:val="left"/>
      <w:pPr>
        <w:ind w:left="2007" w:hanging="360"/>
      </w:pPr>
      <w:rPr>
        <w:rFonts w:cs="Arial" w:hint="default"/>
        <w:color w:val="000000"/>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8" w15:restartNumberingAfterBreak="0">
    <w:nsid w:val="21B3034E"/>
    <w:multiLevelType w:val="hybridMultilevel"/>
    <w:tmpl w:val="CF3CD0BA"/>
    <w:lvl w:ilvl="0" w:tplc="2600152E">
      <w:start w:val="1"/>
      <w:numFmt w:val="decimal"/>
      <w:lvlText w:val="%1."/>
      <w:lvlJc w:val="left"/>
      <w:pPr>
        <w:ind w:left="14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716C80"/>
    <w:multiLevelType w:val="hybridMultilevel"/>
    <w:tmpl w:val="2220903C"/>
    <w:lvl w:ilvl="0" w:tplc="E08C135C">
      <w:start w:val="1"/>
      <w:numFmt w:val="decimal"/>
      <w:lvlText w:val="(%1)"/>
      <w:lvlJc w:val="left"/>
      <w:pPr>
        <w:ind w:left="1572" w:hanging="360"/>
      </w:pPr>
    </w:lvl>
    <w:lvl w:ilvl="1" w:tplc="08090019">
      <w:start w:val="1"/>
      <w:numFmt w:val="lowerLetter"/>
      <w:lvlText w:val="%2."/>
      <w:lvlJc w:val="left"/>
      <w:pPr>
        <w:ind w:left="2292" w:hanging="360"/>
      </w:pPr>
    </w:lvl>
    <w:lvl w:ilvl="2" w:tplc="0809001B">
      <w:start w:val="1"/>
      <w:numFmt w:val="lowerRoman"/>
      <w:lvlText w:val="%3."/>
      <w:lvlJc w:val="right"/>
      <w:pPr>
        <w:ind w:left="3012" w:hanging="180"/>
      </w:pPr>
    </w:lvl>
    <w:lvl w:ilvl="3" w:tplc="0809000F">
      <w:start w:val="1"/>
      <w:numFmt w:val="decimal"/>
      <w:lvlText w:val="%4."/>
      <w:lvlJc w:val="left"/>
      <w:pPr>
        <w:ind w:left="3732" w:hanging="360"/>
      </w:pPr>
    </w:lvl>
    <w:lvl w:ilvl="4" w:tplc="08090019">
      <w:start w:val="1"/>
      <w:numFmt w:val="lowerLetter"/>
      <w:lvlText w:val="%5."/>
      <w:lvlJc w:val="left"/>
      <w:pPr>
        <w:ind w:left="4452" w:hanging="360"/>
      </w:pPr>
    </w:lvl>
    <w:lvl w:ilvl="5" w:tplc="0809001B">
      <w:start w:val="1"/>
      <w:numFmt w:val="lowerRoman"/>
      <w:lvlText w:val="%6."/>
      <w:lvlJc w:val="right"/>
      <w:pPr>
        <w:ind w:left="5172" w:hanging="180"/>
      </w:pPr>
    </w:lvl>
    <w:lvl w:ilvl="6" w:tplc="0809000F">
      <w:start w:val="1"/>
      <w:numFmt w:val="decimal"/>
      <w:lvlText w:val="%7."/>
      <w:lvlJc w:val="left"/>
      <w:pPr>
        <w:ind w:left="5892" w:hanging="360"/>
      </w:pPr>
    </w:lvl>
    <w:lvl w:ilvl="7" w:tplc="08090019">
      <w:start w:val="1"/>
      <w:numFmt w:val="lowerLetter"/>
      <w:lvlText w:val="%8."/>
      <w:lvlJc w:val="left"/>
      <w:pPr>
        <w:ind w:left="6612" w:hanging="360"/>
      </w:pPr>
    </w:lvl>
    <w:lvl w:ilvl="8" w:tplc="0809001B">
      <w:start w:val="1"/>
      <w:numFmt w:val="lowerRoman"/>
      <w:lvlText w:val="%9."/>
      <w:lvlJc w:val="right"/>
      <w:pPr>
        <w:ind w:left="7332" w:hanging="180"/>
      </w:pPr>
    </w:lvl>
  </w:abstractNum>
  <w:abstractNum w:abstractNumId="10" w15:restartNumberingAfterBreak="0">
    <w:nsid w:val="478B55CA"/>
    <w:multiLevelType w:val="hybridMultilevel"/>
    <w:tmpl w:val="A78C47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BF3FF1"/>
    <w:multiLevelType w:val="hybridMultilevel"/>
    <w:tmpl w:val="997460B4"/>
    <w:lvl w:ilvl="0" w:tplc="8EA0200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6A476C"/>
    <w:multiLevelType w:val="hybridMultilevel"/>
    <w:tmpl w:val="F11072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5C1020"/>
    <w:multiLevelType w:val="hybridMultilevel"/>
    <w:tmpl w:val="127A38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A3063A"/>
    <w:multiLevelType w:val="hybridMultilevel"/>
    <w:tmpl w:val="24BA4E50"/>
    <w:lvl w:ilvl="0" w:tplc="8EA02002">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E060BF"/>
    <w:multiLevelType w:val="hybridMultilevel"/>
    <w:tmpl w:val="B83E9300"/>
    <w:lvl w:ilvl="0" w:tplc="8EA0200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C669E7"/>
    <w:multiLevelType w:val="hybridMultilevel"/>
    <w:tmpl w:val="D082951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743609E9"/>
    <w:multiLevelType w:val="hybridMultilevel"/>
    <w:tmpl w:val="C55CCE0E"/>
    <w:lvl w:ilvl="0" w:tplc="8EA02002">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231B54"/>
    <w:multiLevelType w:val="hybridMultilevel"/>
    <w:tmpl w:val="1A36F61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879393656">
    <w:abstractNumId w:val="5"/>
  </w:num>
  <w:num w:numId="2" w16cid:durableId="1208179961">
    <w:abstractNumId w:val="7"/>
  </w:num>
  <w:num w:numId="3" w16cid:durableId="1925451625">
    <w:abstractNumId w:val="16"/>
  </w:num>
  <w:num w:numId="4" w16cid:durableId="1976175658">
    <w:abstractNumId w:val="0"/>
  </w:num>
  <w:num w:numId="5" w16cid:durableId="1441797982">
    <w:abstractNumId w:val="1"/>
  </w:num>
  <w:num w:numId="6" w16cid:durableId="758677395">
    <w:abstractNumId w:val="2"/>
  </w:num>
  <w:num w:numId="7" w16cid:durableId="151483602">
    <w:abstractNumId w:val="3"/>
  </w:num>
  <w:num w:numId="8" w16cid:durableId="1036000580">
    <w:abstractNumId w:val="6"/>
  </w:num>
  <w:num w:numId="9" w16cid:durableId="867567120">
    <w:abstractNumId w:val="10"/>
  </w:num>
  <w:num w:numId="10" w16cid:durableId="894121499">
    <w:abstractNumId w:val="15"/>
  </w:num>
  <w:num w:numId="11" w16cid:durableId="2068019774">
    <w:abstractNumId w:val="14"/>
  </w:num>
  <w:num w:numId="12" w16cid:durableId="963120157">
    <w:abstractNumId w:val="17"/>
  </w:num>
  <w:num w:numId="13" w16cid:durableId="832337138">
    <w:abstractNumId w:val="11"/>
  </w:num>
  <w:num w:numId="14" w16cid:durableId="1625695235">
    <w:abstractNumId w:val="12"/>
  </w:num>
  <w:num w:numId="15" w16cid:durableId="664670901">
    <w:abstractNumId w:val="13"/>
  </w:num>
  <w:num w:numId="16" w16cid:durableId="61947514">
    <w:abstractNumId w:val="4"/>
  </w:num>
  <w:num w:numId="17" w16cid:durableId="2056998777">
    <w:abstractNumId w:val="8"/>
  </w:num>
  <w:num w:numId="18" w16cid:durableId="778262813">
    <w:abstractNumId w:val="18"/>
  </w:num>
  <w:num w:numId="19" w16cid:durableId="532304278">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F05"/>
    <w:rsid w:val="000079D8"/>
    <w:rsid w:val="000177C5"/>
    <w:rsid w:val="00065843"/>
    <w:rsid w:val="000717A8"/>
    <w:rsid w:val="00080FB3"/>
    <w:rsid w:val="00090D24"/>
    <w:rsid w:val="00093B96"/>
    <w:rsid w:val="000A4189"/>
    <w:rsid w:val="000B2A9D"/>
    <w:rsid w:val="000B788F"/>
    <w:rsid w:val="000C4468"/>
    <w:rsid w:val="000C4A0F"/>
    <w:rsid w:val="000F1F0C"/>
    <w:rsid w:val="00104658"/>
    <w:rsid w:val="00114AB9"/>
    <w:rsid w:val="00130C3B"/>
    <w:rsid w:val="00131D72"/>
    <w:rsid w:val="00162154"/>
    <w:rsid w:val="001860D7"/>
    <w:rsid w:val="00192F10"/>
    <w:rsid w:val="001A47EC"/>
    <w:rsid w:val="001A4C51"/>
    <w:rsid w:val="001B2ED0"/>
    <w:rsid w:val="001C3899"/>
    <w:rsid w:val="001D1DD8"/>
    <w:rsid w:val="001D4052"/>
    <w:rsid w:val="001E347C"/>
    <w:rsid w:val="001F09FC"/>
    <w:rsid w:val="00201018"/>
    <w:rsid w:val="002268CA"/>
    <w:rsid w:val="002302AD"/>
    <w:rsid w:val="00244F0F"/>
    <w:rsid w:val="002550E4"/>
    <w:rsid w:val="00271544"/>
    <w:rsid w:val="002A0D64"/>
    <w:rsid w:val="002A46A3"/>
    <w:rsid w:val="002B30E8"/>
    <w:rsid w:val="002B3635"/>
    <w:rsid w:val="002C15CF"/>
    <w:rsid w:val="002D6239"/>
    <w:rsid w:val="002E3E31"/>
    <w:rsid w:val="002E4761"/>
    <w:rsid w:val="002F375E"/>
    <w:rsid w:val="00314009"/>
    <w:rsid w:val="00321450"/>
    <w:rsid w:val="003251DB"/>
    <w:rsid w:val="003417D7"/>
    <w:rsid w:val="003607F0"/>
    <w:rsid w:val="00362E19"/>
    <w:rsid w:val="0036777C"/>
    <w:rsid w:val="003767C6"/>
    <w:rsid w:val="003905CA"/>
    <w:rsid w:val="00391410"/>
    <w:rsid w:val="00394061"/>
    <w:rsid w:val="003F11D5"/>
    <w:rsid w:val="003F6F8A"/>
    <w:rsid w:val="00406323"/>
    <w:rsid w:val="00421D58"/>
    <w:rsid w:val="00446823"/>
    <w:rsid w:val="00462341"/>
    <w:rsid w:val="00464064"/>
    <w:rsid w:val="00466327"/>
    <w:rsid w:val="00473049"/>
    <w:rsid w:val="004761E2"/>
    <w:rsid w:val="00476E9F"/>
    <w:rsid w:val="004804F4"/>
    <w:rsid w:val="0049424D"/>
    <w:rsid w:val="0049672B"/>
    <w:rsid w:val="004A772F"/>
    <w:rsid w:val="004D585C"/>
    <w:rsid w:val="004F1C82"/>
    <w:rsid w:val="004F3D5D"/>
    <w:rsid w:val="005052B6"/>
    <w:rsid w:val="00511F7F"/>
    <w:rsid w:val="0052272A"/>
    <w:rsid w:val="00526E5E"/>
    <w:rsid w:val="00527283"/>
    <w:rsid w:val="00540F2C"/>
    <w:rsid w:val="00553B8C"/>
    <w:rsid w:val="00571274"/>
    <w:rsid w:val="005734D4"/>
    <w:rsid w:val="00575242"/>
    <w:rsid w:val="005756F4"/>
    <w:rsid w:val="0059281F"/>
    <w:rsid w:val="00596DDC"/>
    <w:rsid w:val="005B13FD"/>
    <w:rsid w:val="005C0165"/>
    <w:rsid w:val="005F2432"/>
    <w:rsid w:val="005F3A30"/>
    <w:rsid w:val="0060182B"/>
    <w:rsid w:val="006029B5"/>
    <w:rsid w:val="00613A98"/>
    <w:rsid w:val="00623D27"/>
    <w:rsid w:val="00643B98"/>
    <w:rsid w:val="0065166E"/>
    <w:rsid w:val="0068050E"/>
    <w:rsid w:val="0068726F"/>
    <w:rsid w:val="006A37B1"/>
    <w:rsid w:val="006B0483"/>
    <w:rsid w:val="006C1B24"/>
    <w:rsid w:val="00711406"/>
    <w:rsid w:val="00711DBC"/>
    <w:rsid w:val="00724D96"/>
    <w:rsid w:val="00760753"/>
    <w:rsid w:val="00777259"/>
    <w:rsid w:val="00777CC5"/>
    <w:rsid w:val="007856C5"/>
    <w:rsid w:val="007C2595"/>
    <w:rsid w:val="007E4732"/>
    <w:rsid w:val="007E529A"/>
    <w:rsid w:val="007F1F83"/>
    <w:rsid w:val="007F2694"/>
    <w:rsid w:val="007F794A"/>
    <w:rsid w:val="0084204B"/>
    <w:rsid w:val="00872E2C"/>
    <w:rsid w:val="00883A94"/>
    <w:rsid w:val="00890BB9"/>
    <w:rsid w:val="00891222"/>
    <w:rsid w:val="008A1A35"/>
    <w:rsid w:val="008B2C80"/>
    <w:rsid w:val="008C1028"/>
    <w:rsid w:val="008D13EF"/>
    <w:rsid w:val="008D5604"/>
    <w:rsid w:val="008D74C4"/>
    <w:rsid w:val="008F43CF"/>
    <w:rsid w:val="0090422D"/>
    <w:rsid w:val="0091239D"/>
    <w:rsid w:val="009206EE"/>
    <w:rsid w:val="0093063F"/>
    <w:rsid w:val="00937EC1"/>
    <w:rsid w:val="009404BD"/>
    <w:rsid w:val="00950158"/>
    <w:rsid w:val="00950780"/>
    <w:rsid w:val="009622C1"/>
    <w:rsid w:val="00963CAB"/>
    <w:rsid w:val="0098257D"/>
    <w:rsid w:val="009828CE"/>
    <w:rsid w:val="00991513"/>
    <w:rsid w:val="00992618"/>
    <w:rsid w:val="009A2084"/>
    <w:rsid w:val="009A2247"/>
    <w:rsid w:val="009B160B"/>
    <w:rsid w:val="009B4288"/>
    <w:rsid w:val="009C3940"/>
    <w:rsid w:val="009D5369"/>
    <w:rsid w:val="009E1663"/>
    <w:rsid w:val="00A00CDC"/>
    <w:rsid w:val="00A07911"/>
    <w:rsid w:val="00A12C2A"/>
    <w:rsid w:val="00A1507D"/>
    <w:rsid w:val="00A15F08"/>
    <w:rsid w:val="00A2112F"/>
    <w:rsid w:val="00A314F8"/>
    <w:rsid w:val="00A351E8"/>
    <w:rsid w:val="00A431CF"/>
    <w:rsid w:val="00A462C8"/>
    <w:rsid w:val="00A50116"/>
    <w:rsid w:val="00A563F5"/>
    <w:rsid w:val="00A6606C"/>
    <w:rsid w:val="00A71F05"/>
    <w:rsid w:val="00A8512C"/>
    <w:rsid w:val="00A8716F"/>
    <w:rsid w:val="00A96842"/>
    <w:rsid w:val="00AA12C2"/>
    <w:rsid w:val="00AB06F3"/>
    <w:rsid w:val="00AC1211"/>
    <w:rsid w:val="00AC5B63"/>
    <w:rsid w:val="00AD3194"/>
    <w:rsid w:val="00AD78B8"/>
    <w:rsid w:val="00AE209D"/>
    <w:rsid w:val="00AE219B"/>
    <w:rsid w:val="00AE7879"/>
    <w:rsid w:val="00AF72FE"/>
    <w:rsid w:val="00B428B1"/>
    <w:rsid w:val="00B44583"/>
    <w:rsid w:val="00B51108"/>
    <w:rsid w:val="00B5468C"/>
    <w:rsid w:val="00B91EC0"/>
    <w:rsid w:val="00B9613C"/>
    <w:rsid w:val="00BB0863"/>
    <w:rsid w:val="00BC4A67"/>
    <w:rsid w:val="00BD3FB3"/>
    <w:rsid w:val="00BF7C9D"/>
    <w:rsid w:val="00C00490"/>
    <w:rsid w:val="00C05AB5"/>
    <w:rsid w:val="00C06E8E"/>
    <w:rsid w:val="00C12C28"/>
    <w:rsid w:val="00C16FC8"/>
    <w:rsid w:val="00C1713A"/>
    <w:rsid w:val="00C310A7"/>
    <w:rsid w:val="00C35FE4"/>
    <w:rsid w:val="00C737C8"/>
    <w:rsid w:val="00C84140"/>
    <w:rsid w:val="00C900D2"/>
    <w:rsid w:val="00CA1D0F"/>
    <w:rsid w:val="00CA3F3C"/>
    <w:rsid w:val="00CC5BE2"/>
    <w:rsid w:val="00CD15A0"/>
    <w:rsid w:val="00CD7F86"/>
    <w:rsid w:val="00CE20D2"/>
    <w:rsid w:val="00CE6BA9"/>
    <w:rsid w:val="00CF0772"/>
    <w:rsid w:val="00D03694"/>
    <w:rsid w:val="00D12BFA"/>
    <w:rsid w:val="00D3348C"/>
    <w:rsid w:val="00D4290D"/>
    <w:rsid w:val="00D526D4"/>
    <w:rsid w:val="00D62986"/>
    <w:rsid w:val="00D7148F"/>
    <w:rsid w:val="00DA177A"/>
    <w:rsid w:val="00DB15FB"/>
    <w:rsid w:val="00DB187E"/>
    <w:rsid w:val="00DB37B0"/>
    <w:rsid w:val="00DC656D"/>
    <w:rsid w:val="00DF0280"/>
    <w:rsid w:val="00E12B18"/>
    <w:rsid w:val="00E420C8"/>
    <w:rsid w:val="00E436A9"/>
    <w:rsid w:val="00E55DFD"/>
    <w:rsid w:val="00E72894"/>
    <w:rsid w:val="00E81AA6"/>
    <w:rsid w:val="00E85C45"/>
    <w:rsid w:val="00EA0FC2"/>
    <w:rsid w:val="00EC1288"/>
    <w:rsid w:val="00ED001B"/>
    <w:rsid w:val="00ED16C0"/>
    <w:rsid w:val="00EF0626"/>
    <w:rsid w:val="00EF376B"/>
    <w:rsid w:val="00F1059D"/>
    <w:rsid w:val="00F31D29"/>
    <w:rsid w:val="00F3709E"/>
    <w:rsid w:val="00F75088"/>
    <w:rsid w:val="00F958CA"/>
    <w:rsid w:val="00F962DF"/>
    <w:rsid w:val="00FA31C7"/>
    <w:rsid w:val="00FA507A"/>
    <w:rsid w:val="00FA7EB7"/>
    <w:rsid w:val="00FC6B66"/>
    <w:rsid w:val="01B3D95C"/>
    <w:rsid w:val="09510C8F"/>
    <w:rsid w:val="14572F37"/>
    <w:rsid w:val="201F52FF"/>
    <w:rsid w:val="24960E6B"/>
    <w:rsid w:val="2C5DF660"/>
    <w:rsid w:val="2DCDA2ED"/>
    <w:rsid w:val="2E4659F5"/>
    <w:rsid w:val="39B6ECAE"/>
    <w:rsid w:val="3B294AEE"/>
    <w:rsid w:val="4650F303"/>
    <w:rsid w:val="4788034B"/>
    <w:rsid w:val="53A5BE3C"/>
    <w:rsid w:val="6BED4895"/>
    <w:rsid w:val="6FA55618"/>
    <w:rsid w:val="712E65E2"/>
    <w:rsid w:val="7420EE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F288F"/>
  <w15:docId w15:val="{5A6281CC-15BB-4185-B2F4-1EB929BBB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1F05"/>
    <w:rPr>
      <w:rFonts w:ascii="Arial" w:hAnsi="Arial"/>
      <w:sz w:val="24"/>
      <w:lang w:eastAsia="en-US"/>
    </w:rPr>
  </w:style>
  <w:style w:type="paragraph" w:styleId="Heading1">
    <w:name w:val="heading 1"/>
    <w:basedOn w:val="Heading2"/>
    <w:next w:val="Normal"/>
    <w:qFormat/>
    <w:rsid w:val="002302AD"/>
    <w:pPr>
      <w:spacing w:before="240" w:after="0"/>
      <w:outlineLvl w:val="0"/>
    </w:pPr>
    <w:rPr>
      <w:b w:val="0"/>
      <w:sz w:val="36"/>
    </w:rPr>
  </w:style>
  <w:style w:type="paragraph" w:styleId="Heading2">
    <w:name w:val="heading 2"/>
    <w:basedOn w:val="Normal"/>
    <w:next w:val="Normal"/>
    <w:qFormat/>
    <w:rsid w:val="00A6606C"/>
    <w:pPr>
      <w:spacing w:before="480" w:after="240"/>
      <w:outlineLvl w:val="1"/>
    </w:pPr>
    <w:rPr>
      <w:rFonts w:ascii="Arial Black" w:hAnsi="Arial Black" w:cs="Arial"/>
      <w:b/>
      <w:bCs/>
      <w:sz w:val="32"/>
      <w:szCs w:val="32"/>
    </w:rPr>
  </w:style>
  <w:style w:type="paragraph" w:styleId="Heading3">
    <w:name w:val="heading 3"/>
    <w:basedOn w:val="Normal"/>
    <w:next w:val="Normal"/>
    <w:qFormat/>
    <w:rsid w:val="00192F10"/>
    <w:pPr>
      <w:spacing w:before="240" w:after="240"/>
      <w:jc w:val="both"/>
      <w:outlineLvl w:val="2"/>
    </w:pPr>
    <w:rPr>
      <w:rFonts w:cs="Arial"/>
      <w:b/>
      <w:bCs/>
      <w:sz w:val="28"/>
      <w:szCs w:val="28"/>
    </w:rPr>
  </w:style>
  <w:style w:type="paragraph" w:styleId="Heading4">
    <w:name w:val="heading 4"/>
    <w:basedOn w:val="Normal"/>
    <w:next w:val="Normal"/>
    <w:qFormat/>
    <w:rsid w:val="00A71F05"/>
    <w:pPr>
      <w:keepNext/>
      <w:outlineLvl w:val="3"/>
    </w:pPr>
    <w:rPr>
      <w:rFonts w:cs="Arial"/>
      <w:b/>
    </w:rPr>
  </w:style>
  <w:style w:type="paragraph" w:styleId="Heading8">
    <w:name w:val="heading 8"/>
    <w:basedOn w:val="Normal"/>
    <w:next w:val="Normal"/>
    <w:qFormat/>
    <w:rsid w:val="00A71F05"/>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71F05"/>
    <w:pPr>
      <w:tabs>
        <w:tab w:val="center" w:pos="4153"/>
        <w:tab w:val="right" w:pos="8306"/>
      </w:tabs>
    </w:pPr>
    <w:rPr>
      <w:szCs w:val="24"/>
      <w:lang w:val="en-US"/>
    </w:rPr>
  </w:style>
  <w:style w:type="paragraph" w:customStyle="1" w:styleId="Infotext">
    <w:name w:val="Info text"/>
    <w:basedOn w:val="Normal"/>
    <w:rsid w:val="00A71F05"/>
    <w:rPr>
      <w:sz w:val="28"/>
    </w:rPr>
  </w:style>
  <w:style w:type="character" w:styleId="FootnoteReference">
    <w:name w:val="footnote reference"/>
    <w:semiHidden/>
    <w:rsid w:val="00A71F05"/>
    <w:rPr>
      <w:vertAlign w:val="superscript"/>
    </w:rPr>
  </w:style>
  <w:style w:type="paragraph" w:customStyle="1" w:styleId="CharCharCharCharCharCharCharChar">
    <w:name w:val="Char Char Char Char Char Char Char Char"/>
    <w:basedOn w:val="Normal"/>
    <w:rsid w:val="00A71F05"/>
    <w:pPr>
      <w:spacing w:after="160" w:line="240" w:lineRule="exact"/>
    </w:pPr>
    <w:rPr>
      <w:rFonts w:ascii="Tahoma" w:hAnsi="Tahoma"/>
      <w:sz w:val="20"/>
      <w:lang w:eastAsia="en-GB"/>
    </w:rPr>
  </w:style>
  <w:style w:type="character" w:styleId="Hyperlink">
    <w:name w:val="Hyperlink"/>
    <w:rsid w:val="00A71F05"/>
    <w:rPr>
      <w:color w:val="0000FF"/>
      <w:u w:val="single"/>
    </w:rPr>
  </w:style>
  <w:style w:type="character" w:styleId="PageNumber">
    <w:name w:val="page number"/>
    <w:basedOn w:val="DefaultParagraphFont"/>
    <w:rsid w:val="00A71F05"/>
  </w:style>
  <w:style w:type="paragraph" w:styleId="Header">
    <w:name w:val="header"/>
    <w:basedOn w:val="Normal"/>
    <w:rsid w:val="001A47EC"/>
    <w:pPr>
      <w:tabs>
        <w:tab w:val="center" w:pos="4320"/>
        <w:tab w:val="right" w:pos="8640"/>
      </w:tabs>
    </w:pPr>
  </w:style>
  <w:style w:type="paragraph" w:styleId="BalloonText">
    <w:name w:val="Balloon Text"/>
    <w:basedOn w:val="Normal"/>
    <w:semiHidden/>
    <w:rsid w:val="00724D96"/>
    <w:rPr>
      <w:rFonts w:ascii="Tahoma" w:hAnsi="Tahoma" w:cs="Tahoma"/>
      <w:sz w:val="16"/>
      <w:szCs w:val="16"/>
    </w:rPr>
  </w:style>
  <w:style w:type="paragraph" w:customStyle="1" w:styleId="CharCharCharChar2">
    <w:name w:val="Char Char Char Char2"/>
    <w:basedOn w:val="Normal"/>
    <w:locked/>
    <w:rsid w:val="0091239D"/>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BB0863"/>
    <w:pPr>
      <w:spacing w:after="160" w:line="240" w:lineRule="exact"/>
    </w:pPr>
    <w:rPr>
      <w:rFonts w:ascii="Verdana" w:hAnsi="Verdana"/>
      <w:sz w:val="20"/>
      <w:lang w:val="en-US"/>
    </w:rPr>
  </w:style>
  <w:style w:type="paragraph" w:styleId="FootnoteText">
    <w:name w:val="footnote text"/>
    <w:basedOn w:val="Normal"/>
    <w:semiHidden/>
    <w:rsid w:val="009404BD"/>
    <w:rPr>
      <w:rFonts w:ascii="Times New Roman" w:hAnsi="Times New Roman"/>
      <w:sz w:val="20"/>
    </w:rPr>
  </w:style>
  <w:style w:type="paragraph" w:styleId="NormalWeb">
    <w:name w:val="Normal (Web)"/>
    <w:basedOn w:val="Normal"/>
    <w:uiPriority w:val="99"/>
    <w:semiHidden/>
    <w:rsid w:val="009404BD"/>
    <w:pPr>
      <w:spacing w:before="100" w:beforeAutospacing="1" w:after="300"/>
    </w:pPr>
    <w:rPr>
      <w:rFonts w:ascii="Times New Roman" w:eastAsia="Calibri" w:hAnsi="Times New Roman"/>
      <w:szCs w:val="24"/>
      <w:lang w:val="en-US"/>
    </w:rPr>
  </w:style>
  <w:style w:type="table" w:styleId="TableGrid">
    <w:name w:val="Table Grid"/>
    <w:basedOn w:val="TableNormal"/>
    <w:uiPriority w:val="39"/>
    <w:rsid w:val="00940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rsid w:val="009404BD"/>
    <w:rPr>
      <w:rFonts w:ascii="Arial" w:hAnsi="Arial"/>
      <w:sz w:val="22"/>
      <w:lang w:val="en-US" w:eastAsia="en-US"/>
    </w:r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2268CA"/>
    <w:pPr>
      <w:ind w:left="720"/>
    </w:pPr>
  </w:style>
  <w:style w:type="character" w:styleId="Strong">
    <w:name w:val="Strong"/>
    <w:uiPriority w:val="22"/>
    <w:qFormat/>
    <w:rsid w:val="002268CA"/>
    <w:rPr>
      <w:b/>
      <w:bCs/>
    </w:rPr>
  </w:style>
  <w:style w:type="character" w:styleId="FollowedHyperlink">
    <w:name w:val="FollowedHyperlink"/>
    <w:rsid w:val="00CE20D2"/>
    <w:rPr>
      <w:color w:val="800080"/>
      <w:u w:val="single"/>
    </w:rPr>
  </w:style>
  <w:style w:type="character" w:styleId="UnresolvedMention">
    <w:name w:val="Unresolved Mention"/>
    <w:basedOn w:val="DefaultParagraphFont"/>
    <w:uiPriority w:val="99"/>
    <w:semiHidden/>
    <w:unhideWhenUsed/>
    <w:rsid w:val="00777259"/>
    <w:rPr>
      <w:color w:val="605E5C"/>
      <w:shd w:val="clear" w:color="auto" w:fill="E1DFDD"/>
    </w:rPr>
  </w:style>
  <w:style w:type="paragraph" w:customStyle="1" w:styleId="StyleListParagraphBold">
    <w:name w:val="Style List Paragraph + Bold"/>
    <w:basedOn w:val="ListParagraph"/>
    <w:rsid w:val="002B3635"/>
    <w:rPr>
      <w:rFonts w:eastAsia="Calibri" w:cs="Arial"/>
      <w:b/>
      <w:bCs/>
      <w:color w:val="000000"/>
      <w:szCs w:val="22"/>
      <w:lang w:eastAsia="en-GB"/>
    </w:rPr>
  </w:style>
  <w:style w:type="paragraph" w:customStyle="1" w:styleId="StyleHeading4Before12pt">
    <w:name w:val="Style Heading 4 + Before:  12 pt"/>
    <w:basedOn w:val="Heading4"/>
    <w:rsid w:val="002B3635"/>
    <w:pPr>
      <w:spacing w:before="240"/>
    </w:pPr>
    <w:rPr>
      <w:rFonts w:cs="Times New Roman"/>
      <w:bCs/>
      <w:sz w:val="28"/>
    </w:rPr>
  </w:style>
  <w:style w:type="paragraph" w:customStyle="1" w:styleId="Default">
    <w:name w:val="Default"/>
    <w:rsid w:val="009A2084"/>
    <w:pPr>
      <w:autoSpaceDE w:val="0"/>
      <w:autoSpaceDN w:val="0"/>
      <w:adjustRightInd w:val="0"/>
    </w:pPr>
    <w:rPr>
      <w:rFonts w:ascii="Arial" w:hAnsi="Arial" w:cs="Arial"/>
      <w:color w:val="000000"/>
      <w:sz w:val="24"/>
      <w:szCs w:val="24"/>
    </w:r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basedOn w:val="DefaultParagraphFont"/>
    <w:link w:val="ListParagraph"/>
    <w:uiPriority w:val="34"/>
    <w:qFormat/>
    <w:locked/>
    <w:rsid w:val="009A2084"/>
    <w:rPr>
      <w:rFonts w:ascii="Arial" w:hAnsi="Arial"/>
      <w:sz w:val="24"/>
      <w:lang w:eastAsia="en-US"/>
    </w:rPr>
  </w:style>
  <w:style w:type="paragraph" w:styleId="Revision">
    <w:name w:val="Revision"/>
    <w:hidden/>
    <w:uiPriority w:val="99"/>
    <w:semiHidden/>
    <w:rsid w:val="00D03694"/>
    <w:rPr>
      <w:rFonts w:ascii="Arial" w:hAnsi="Arial"/>
      <w:sz w:val="24"/>
      <w:lang w:eastAsia="en-US"/>
    </w:rPr>
  </w:style>
  <w:style w:type="character" w:styleId="CommentReference">
    <w:name w:val="annotation reference"/>
    <w:basedOn w:val="DefaultParagraphFont"/>
    <w:semiHidden/>
    <w:unhideWhenUsed/>
    <w:rsid w:val="003767C6"/>
    <w:rPr>
      <w:sz w:val="16"/>
      <w:szCs w:val="16"/>
    </w:rPr>
  </w:style>
  <w:style w:type="paragraph" w:styleId="CommentText">
    <w:name w:val="annotation text"/>
    <w:basedOn w:val="Normal"/>
    <w:link w:val="CommentTextChar"/>
    <w:semiHidden/>
    <w:unhideWhenUsed/>
    <w:rsid w:val="003767C6"/>
    <w:rPr>
      <w:sz w:val="20"/>
    </w:rPr>
  </w:style>
  <w:style w:type="character" w:customStyle="1" w:styleId="CommentTextChar">
    <w:name w:val="Comment Text Char"/>
    <w:basedOn w:val="DefaultParagraphFont"/>
    <w:link w:val="CommentText"/>
    <w:semiHidden/>
    <w:rsid w:val="003767C6"/>
    <w:rPr>
      <w:rFonts w:ascii="Arial" w:hAnsi="Arial"/>
      <w:lang w:eastAsia="en-US"/>
    </w:rPr>
  </w:style>
  <w:style w:type="paragraph" w:styleId="CommentSubject">
    <w:name w:val="annotation subject"/>
    <w:basedOn w:val="CommentText"/>
    <w:next w:val="CommentText"/>
    <w:link w:val="CommentSubjectChar"/>
    <w:semiHidden/>
    <w:unhideWhenUsed/>
    <w:rsid w:val="003767C6"/>
    <w:rPr>
      <w:b/>
      <w:bCs/>
    </w:rPr>
  </w:style>
  <w:style w:type="character" w:customStyle="1" w:styleId="CommentSubjectChar">
    <w:name w:val="Comment Subject Char"/>
    <w:basedOn w:val="CommentTextChar"/>
    <w:link w:val="CommentSubject"/>
    <w:semiHidden/>
    <w:rsid w:val="003767C6"/>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044832">
      <w:bodyDiv w:val="1"/>
      <w:marLeft w:val="0"/>
      <w:marRight w:val="0"/>
      <w:marTop w:val="0"/>
      <w:marBottom w:val="0"/>
      <w:divBdr>
        <w:top w:val="none" w:sz="0" w:space="0" w:color="auto"/>
        <w:left w:val="none" w:sz="0" w:space="0" w:color="auto"/>
        <w:bottom w:val="none" w:sz="0" w:space="0" w:color="auto"/>
        <w:right w:val="none" w:sz="0" w:space="0" w:color="auto"/>
      </w:divBdr>
      <w:divsChild>
        <w:div w:id="906453550">
          <w:marLeft w:val="0"/>
          <w:marRight w:val="0"/>
          <w:marTop w:val="0"/>
          <w:marBottom w:val="0"/>
          <w:divBdr>
            <w:top w:val="none" w:sz="0" w:space="0" w:color="auto"/>
            <w:left w:val="none" w:sz="0" w:space="0" w:color="auto"/>
            <w:bottom w:val="none" w:sz="0" w:space="0" w:color="auto"/>
            <w:right w:val="none" w:sz="0" w:space="0" w:color="auto"/>
          </w:divBdr>
          <w:divsChild>
            <w:div w:id="450369636">
              <w:marLeft w:val="0"/>
              <w:marRight w:val="0"/>
              <w:marTop w:val="0"/>
              <w:marBottom w:val="0"/>
              <w:divBdr>
                <w:top w:val="none" w:sz="0" w:space="0" w:color="auto"/>
                <w:left w:val="none" w:sz="0" w:space="0" w:color="auto"/>
                <w:bottom w:val="none" w:sz="0" w:space="0" w:color="auto"/>
                <w:right w:val="none" w:sz="0" w:space="0" w:color="auto"/>
              </w:divBdr>
              <w:divsChild>
                <w:div w:id="1170096105">
                  <w:marLeft w:val="0"/>
                  <w:marRight w:val="0"/>
                  <w:marTop w:val="0"/>
                  <w:marBottom w:val="0"/>
                  <w:divBdr>
                    <w:top w:val="none" w:sz="0" w:space="0" w:color="auto"/>
                    <w:left w:val="none" w:sz="0" w:space="0" w:color="auto"/>
                    <w:bottom w:val="none" w:sz="0" w:space="0" w:color="auto"/>
                    <w:right w:val="none" w:sz="0" w:space="0" w:color="auto"/>
                  </w:divBdr>
                </w:div>
                <w:div w:id="331684652">
                  <w:marLeft w:val="0"/>
                  <w:marRight w:val="0"/>
                  <w:marTop w:val="0"/>
                  <w:marBottom w:val="0"/>
                  <w:divBdr>
                    <w:top w:val="none" w:sz="0" w:space="0" w:color="auto"/>
                    <w:left w:val="none" w:sz="0" w:space="0" w:color="auto"/>
                    <w:bottom w:val="none" w:sz="0" w:space="0" w:color="auto"/>
                    <w:right w:val="none" w:sz="0" w:space="0" w:color="auto"/>
                  </w:divBdr>
                  <w:divsChild>
                    <w:div w:id="1435637512">
                      <w:marLeft w:val="0"/>
                      <w:marRight w:val="0"/>
                      <w:marTop w:val="0"/>
                      <w:marBottom w:val="0"/>
                      <w:divBdr>
                        <w:top w:val="none" w:sz="0" w:space="0" w:color="auto"/>
                        <w:left w:val="none" w:sz="0" w:space="0" w:color="auto"/>
                        <w:bottom w:val="none" w:sz="0" w:space="0" w:color="auto"/>
                        <w:right w:val="none" w:sz="0" w:space="0" w:color="auto"/>
                      </w:divBdr>
                    </w:div>
                    <w:div w:id="191039532">
                      <w:marLeft w:val="0"/>
                      <w:marRight w:val="0"/>
                      <w:marTop w:val="0"/>
                      <w:marBottom w:val="0"/>
                      <w:divBdr>
                        <w:top w:val="none" w:sz="0" w:space="0" w:color="auto"/>
                        <w:left w:val="none" w:sz="0" w:space="0" w:color="auto"/>
                        <w:bottom w:val="none" w:sz="0" w:space="0" w:color="auto"/>
                        <w:right w:val="none" w:sz="0" w:space="0" w:color="auto"/>
                      </w:divBdr>
                    </w:div>
                  </w:divsChild>
                </w:div>
                <w:div w:id="1753236371">
                  <w:marLeft w:val="0"/>
                  <w:marRight w:val="0"/>
                  <w:marTop w:val="0"/>
                  <w:marBottom w:val="0"/>
                  <w:divBdr>
                    <w:top w:val="none" w:sz="0" w:space="0" w:color="auto"/>
                    <w:left w:val="none" w:sz="0" w:space="0" w:color="auto"/>
                    <w:bottom w:val="none" w:sz="0" w:space="0" w:color="auto"/>
                    <w:right w:val="none" w:sz="0" w:space="0" w:color="auto"/>
                  </w:divBdr>
                </w:div>
                <w:div w:id="14774725">
                  <w:marLeft w:val="0"/>
                  <w:marRight w:val="0"/>
                  <w:marTop w:val="0"/>
                  <w:marBottom w:val="0"/>
                  <w:divBdr>
                    <w:top w:val="none" w:sz="0" w:space="0" w:color="auto"/>
                    <w:left w:val="none" w:sz="0" w:space="0" w:color="auto"/>
                    <w:bottom w:val="none" w:sz="0" w:space="0" w:color="auto"/>
                    <w:right w:val="none" w:sz="0" w:space="0" w:color="auto"/>
                  </w:divBdr>
                </w:div>
                <w:div w:id="131355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514392">
      <w:bodyDiv w:val="1"/>
      <w:marLeft w:val="0"/>
      <w:marRight w:val="0"/>
      <w:marTop w:val="0"/>
      <w:marBottom w:val="0"/>
      <w:divBdr>
        <w:top w:val="none" w:sz="0" w:space="0" w:color="auto"/>
        <w:left w:val="none" w:sz="0" w:space="0" w:color="auto"/>
        <w:bottom w:val="none" w:sz="0" w:space="0" w:color="auto"/>
        <w:right w:val="none" w:sz="0" w:space="0" w:color="auto"/>
      </w:divBdr>
      <w:divsChild>
        <w:div w:id="1620137639">
          <w:marLeft w:val="0"/>
          <w:marRight w:val="0"/>
          <w:marTop w:val="0"/>
          <w:marBottom w:val="0"/>
          <w:divBdr>
            <w:top w:val="none" w:sz="0" w:space="0" w:color="auto"/>
            <w:left w:val="none" w:sz="0" w:space="0" w:color="auto"/>
            <w:bottom w:val="none" w:sz="0" w:space="0" w:color="auto"/>
            <w:right w:val="none" w:sz="0" w:space="0" w:color="auto"/>
          </w:divBdr>
        </w:div>
        <w:div w:id="1607738374">
          <w:marLeft w:val="0"/>
          <w:marRight w:val="0"/>
          <w:marTop w:val="0"/>
          <w:marBottom w:val="0"/>
          <w:divBdr>
            <w:top w:val="none" w:sz="0" w:space="0" w:color="auto"/>
            <w:left w:val="none" w:sz="0" w:space="0" w:color="auto"/>
            <w:bottom w:val="none" w:sz="0" w:space="0" w:color="auto"/>
            <w:right w:val="none" w:sz="0" w:space="0" w:color="auto"/>
          </w:divBdr>
        </w:div>
        <w:div w:id="1303384903">
          <w:marLeft w:val="0"/>
          <w:marRight w:val="0"/>
          <w:marTop w:val="0"/>
          <w:marBottom w:val="0"/>
          <w:divBdr>
            <w:top w:val="none" w:sz="0" w:space="0" w:color="auto"/>
            <w:left w:val="none" w:sz="0" w:space="0" w:color="auto"/>
            <w:bottom w:val="none" w:sz="0" w:space="0" w:color="auto"/>
            <w:right w:val="none" w:sz="0" w:space="0" w:color="auto"/>
          </w:divBdr>
          <w:divsChild>
            <w:div w:id="26412549">
              <w:marLeft w:val="0"/>
              <w:marRight w:val="0"/>
              <w:marTop w:val="0"/>
              <w:marBottom w:val="0"/>
              <w:divBdr>
                <w:top w:val="none" w:sz="0" w:space="0" w:color="auto"/>
                <w:left w:val="none" w:sz="0" w:space="0" w:color="auto"/>
                <w:bottom w:val="none" w:sz="0" w:space="0" w:color="auto"/>
                <w:right w:val="none" w:sz="0" w:space="0" w:color="auto"/>
              </w:divBdr>
            </w:div>
            <w:div w:id="1910650382">
              <w:marLeft w:val="0"/>
              <w:marRight w:val="0"/>
              <w:marTop w:val="0"/>
              <w:marBottom w:val="0"/>
              <w:divBdr>
                <w:top w:val="none" w:sz="0" w:space="0" w:color="auto"/>
                <w:left w:val="none" w:sz="0" w:space="0" w:color="auto"/>
                <w:bottom w:val="none" w:sz="0" w:space="0" w:color="auto"/>
                <w:right w:val="none" w:sz="0" w:space="0" w:color="auto"/>
              </w:divBdr>
            </w:div>
          </w:divsChild>
        </w:div>
        <w:div w:id="386412527">
          <w:marLeft w:val="0"/>
          <w:marRight w:val="0"/>
          <w:marTop w:val="0"/>
          <w:marBottom w:val="0"/>
          <w:divBdr>
            <w:top w:val="none" w:sz="0" w:space="0" w:color="auto"/>
            <w:left w:val="none" w:sz="0" w:space="0" w:color="auto"/>
            <w:bottom w:val="none" w:sz="0" w:space="0" w:color="auto"/>
            <w:right w:val="none" w:sz="0" w:space="0" w:color="auto"/>
          </w:divBdr>
        </w:div>
        <w:div w:id="1821731774">
          <w:marLeft w:val="0"/>
          <w:marRight w:val="0"/>
          <w:marTop w:val="0"/>
          <w:marBottom w:val="0"/>
          <w:divBdr>
            <w:top w:val="none" w:sz="0" w:space="0" w:color="auto"/>
            <w:left w:val="none" w:sz="0" w:space="0" w:color="auto"/>
            <w:bottom w:val="none" w:sz="0" w:space="0" w:color="auto"/>
            <w:right w:val="none" w:sz="0" w:space="0" w:color="auto"/>
          </w:divBdr>
        </w:div>
        <w:div w:id="25253347">
          <w:marLeft w:val="0"/>
          <w:marRight w:val="0"/>
          <w:marTop w:val="0"/>
          <w:marBottom w:val="0"/>
          <w:divBdr>
            <w:top w:val="none" w:sz="0" w:space="0" w:color="auto"/>
            <w:left w:val="none" w:sz="0" w:space="0" w:color="auto"/>
            <w:bottom w:val="none" w:sz="0" w:space="0" w:color="auto"/>
            <w:right w:val="none" w:sz="0" w:space="0" w:color="auto"/>
          </w:divBdr>
          <w:divsChild>
            <w:div w:id="133304883">
              <w:marLeft w:val="0"/>
              <w:marRight w:val="0"/>
              <w:marTop w:val="0"/>
              <w:marBottom w:val="0"/>
              <w:divBdr>
                <w:top w:val="none" w:sz="0" w:space="0" w:color="auto"/>
                <w:left w:val="none" w:sz="0" w:space="0" w:color="auto"/>
                <w:bottom w:val="none" w:sz="0" w:space="0" w:color="auto"/>
                <w:right w:val="none" w:sz="0" w:space="0" w:color="auto"/>
              </w:divBdr>
            </w:div>
            <w:div w:id="790366355">
              <w:marLeft w:val="0"/>
              <w:marRight w:val="0"/>
              <w:marTop w:val="0"/>
              <w:marBottom w:val="0"/>
              <w:divBdr>
                <w:top w:val="none" w:sz="0" w:space="0" w:color="auto"/>
                <w:left w:val="none" w:sz="0" w:space="0" w:color="auto"/>
                <w:bottom w:val="none" w:sz="0" w:space="0" w:color="auto"/>
                <w:right w:val="none" w:sz="0" w:space="0" w:color="auto"/>
              </w:divBdr>
            </w:div>
          </w:divsChild>
        </w:div>
        <w:div w:id="1087387210">
          <w:marLeft w:val="0"/>
          <w:marRight w:val="0"/>
          <w:marTop w:val="0"/>
          <w:marBottom w:val="0"/>
          <w:divBdr>
            <w:top w:val="none" w:sz="0" w:space="0" w:color="auto"/>
            <w:left w:val="none" w:sz="0" w:space="0" w:color="auto"/>
            <w:bottom w:val="none" w:sz="0" w:space="0" w:color="auto"/>
            <w:right w:val="none" w:sz="0" w:space="0" w:color="auto"/>
          </w:divBdr>
          <w:divsChild>
            <w:div w:id="613902338">
              <w:marLeft w:val="0"/>
              <w:marRight w:val="0"/>
              <w:marTop w:val="0"/>
              <w:marBottom w:val="0"/>
              <w:divBdr>
                <w:top w:val="none" w:sz="0" w:space="0" w:color="auto"/>
                <w:left w:val="none" w:sz="0" w:space="0" w:color="auto"/>
                <w:bottom w:val="none" w:sz="0" w:space="0" w:color="auto"/>
                <w:right w:val="none" w:sz="0" w:space="0" w:color="auto"/>
              </w:divBdr>
              <w:divsChild>
                <w:div w:id="2052730363">
                  <w:marLeft w:val="0"/>
                  <w:marRight w:val="0"/>
                  <w:marTop w:val="0"/>
                  <w:marBottom w:val="0"/>
                  <w:divBdr>
                    <w:top w:val="none" w:sz="0" w:space="0" w:color="auto"/>
                    <w:left w:val="none" w:sz="0" w:space="0" w:color="auto"/>
                    <w:bottom w:val="none" w:sz="0" w:space="0" w:color="auto"/>
                    <w:right w:val="none" w:sz="0" w:space="0" w:color="auto"/>
                  </w:divBdr>
                </w:div>
                <w:div w:id="503665450">
                  <w:marLeft w:val="0"/>
                  <w:marRight w:val="0"/>
                  <w:marTop w:val="0"/>
                  <w:marBottom w:val="0"/>
                  <w:divBdr>
                    <w:top w:val="none" w:sz="0" w:space="0" w:color="auto"/>
                    <w:left w:val="none" w:sz="0" w:space="0" w:color="auto"/>
                    <w:bottom w:val="none" w:sz="0" w:space="0" w:color="auto"/>
                    <w:right w:val="none" w:sz="0" w:space="0" w:color="auto"/>
                  </w:divBdr>
                </w:div>
              </w:divsChild>
            </w:div>
            <w:div w:id="1024479279">
              <w:marLeft w:val="0"/>
              <w:marRight w:val="0"/>
              <w:marTop w:val="0"/>
              <w:marBottom w:val="0"/>
              <w:divBdr>
                <w:top w:val="none" w:sz="0" w:space="0" w:color="auto"/>
                <w:left w:val="none" w:sz="0" w:space="0" w:color="auto"/>
                <w:bottom w:val="none" w:sz="0" w:space="0" w:color="auto"/>
                <w:right w:val="none" w:sz="0" w:space="0" w:color="auto"/>
              </w:divBdr>
            </w:div>
          </w:divsChild>
        </w:div>
        <w:div w:id="1595045952">
          <w:marLeft w:val="0"/>
          <w:marRight w:val="0"/>
          <w:marTop w:val="0"/>
          <w:marBottom w:val="0"/>
          <w:divBdr>
            <w:top w:val="none" w:sz="0" w:space="0" w:color="auto"/>
            <w:left w:val="none" w:sz="0" w:space="0" w:color="auto"/>
            <w:bottom w:val="none" w:sz="0" w:space="0" w:color="auto"/>
            <w:right w:val="none" w:sz="0" w:space="0" w:color="auto"/>
          </w:divBdr>
        </w:div>
        <w:div w:id="1630474319">
          <w:marLeft w:val="0"/>
          <w:marRight w:val="0"/>
          <w:marTop w:val="0"/>
          <w:marBottom w:val="0"/>
          <w:divBdr>
            <w:top w:val="none" w:sz="0" w:space="0" w:color="auto"/>
            <w:left w:val="none" w:sz="0" w:space="0" w:color="auto"/>
            <w:bottom w:val="none" w:sz="0" w:space="0" w:color="auto"/>
            <w:right w:val="none" w:sz="0" w:space="0" w:color="auto"/>
          </w:divBdr>
        </w:div>
        <w:div w:id="748968347">
          <w:marLeft w:val="0"/>
          <w:marRight w:val="0"/>
          <w:marTop w:val="0"/>
          <w:marBottom w:val="0"/>
          <w:divBdr>
            <w:top w:val="none" w:sz="0" w:space="0" w:color="auto"/>
            <w:left w:val="none" w:sz="0" w:space="0" w:color="auto"/>
            <w:bottom w:val="none" w:sz="0" w:space="0" w:color="auto"/>
            <w:right w:val="none" w:sz="0" w:space="0" w:color="auto"/>
          </w:divBdr>
        </w:div>
        <w:div w:id="1130897764">
          <w:marLeft w:val="0"/>
          <w:marRight w:val="0"/>
          <w:marTop w:val="0"/>
          <w:marBottom w:val="0"/>
          <w:divBdr>
            <w:top w:val="none" w:sz="0" w:space="0" w:color="auto"/>
            <w:left w:val="none" w:sz="0" w:space="0" w:color="auto"/>
            <w:bottom w:val="none" w:sz="0" w:space="0" w:color="auto"/>
            <w:right w:val="none" w:sz="0" w:space="0" w:color="auto"/>
          </w:divBdr>
        </w:div>
        <w:div w:id="345785871">
          <w:marLeft w:val="0"/>
          <w:marRight w:val="0"/>
          <w:marTop w:val="0"/>
          <w:marBottom w:val="0"/>
          <w:divBdr>
            <w:top w:val="none" w:sz="0" w:space="0" w:color="auto"/>
            <w:left w:val="none" w:sz="0" w:space="0" w:color="auto"/>
            <w:bottom w:val="none" w:sz="0" w:space="0" w:color="auto"/>
            <w:right w:val="none" w:sz="0" w:space="0" w:color="auto"/>
          </w:divBdr>
        </w:div>
        <w:div w:id="1953315719">
          <w:marLeft w:val="0"/>
          <w:marRight w:val="0"/>
          <w:marTop w:val="0"/>
          <w:marBottom w:val="0"/>
          <w:divBdr>
            <w:top w:val="none" w:sz="0" w:space="0" w:color="auto"/>
            <w:left w:val="none" w:sz="0" w:space="0" w:color="auto"/>
            <w:bottom w:val="none" w:sz="0" w:space="0" w:color="auto"/>
            <w:right w:val="none" w:sz="0" w:space="0" w:color="auto"/>
          </w:divBdr>
          <w:divsChild>
            <w:div w:id="1132091412">
              <w:marLeft w:val="0"/>
              <w:marRight w:val="0"/>
              <w:marTop w:val="0"/>
              <w:marBottom w:val="0"/>
              <w:divBdr>
                <w:top w:val="none" w:sz="0" w:space="0" w:color="auto"/>
                <w:left w:val="none" w:sz="0" w:space="0" w:color="auto"/>
                <w:bottom w:val="none" w:sz="0" w:space="0" w:color="auto"/>
                <w:right w:val="none" w:sz="0" w:space="0" w:color="auto"/>
              </w:divBdr>
            </w:div>
            <w:div w:id="32744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24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1.safelinks.protection.outlook.com/?url=https%3A%2F%2Fwww.gov.uk%2Fgovernment%2Fpublications%2Fhigh-needs-funding-arrangements-2023-to-2024%2Fhigh-needs-funding-2023-to-2024-operational-guide&amp;data=05%7C01%7CJessica.Farmer%40harrow.gov.uk%7Ce7a31e371ea84b9df47908db5dd6a8f0%7Cd2c39953a8db4c3c97f2d2dc76fb3e2c%7C1%7C0%7C638206948752759486%7CUnknown%7CTWFpbGZsb3d8eyJWIjoiMC4wLjAwMDAiLCJQIjoiV2luMzIiLCJBTiI6Ik1haWwiLCJXVCI6Mn0%3D%7C3000%7C%7C%7C&amp;sdata=eBkd9s2IfS4%2FI5KOaH0T9Yj75dq66LCAxCi1ZyMLViI%3D&amp;reserved=0" TargetMode="External"/><Relationship Id="rId18" Type="http://schemas.openxmlformats.org/officeDocument/2006/relationships/hyperlink" Target="https://eur01.safelinks.protection.outlook.com/?url=https%3A%2F%2Fwww.gov.uk%2Fgovernment%2Fpublications%2Fcreating-sustainable-high-needs-systems&amp;data=05%7C01%7CJessica.Farmer%40harrow.gov.uk%7Ce7a31e371ea84b9df47908db5dd6a8f0%7Cd2c39953a8db4c3c97f2d2dc76fb3e2c%7C1%7C0%7C638206948752759486%7CUnknown%7CTWFpbGZsb3d8eyJWIjoiMC4wLjAwMDAiLCJQIjoiV2luMzIiLCJBTiI6Ik1haWwiLCJXVCI6Mn0%3D%7C3000%7C%7C%7C&amp;sdata=oSxiNxZbYv%2BrE0XlyXzXnMmqBhmGytR8MoO7phEk9aQ%3D&amp;reserved=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eur01.safelinks.protection.outlook.com/?url=https%3A%2F%2Fwww.gov.uk%2Fgovernment%2Fpublications%2Fdedicated-schools-grant-dsg-2023-to-2024%2Fdsg-conditions-of-grant-2023-to-2024&amp;data=05%7C01%7CJessica.Farmer%40harrow.gov.uk%7Ce7a31e371ea84b9df47908db5dd6a8f0%7Cd2c39953a8db4c3c97f2d2dc76fb3e2c%7C1%7C0%7C638206948752759486%7CUnknown%7CTWFpbGZsb3d8eyJWIjoiMC4wLjAwMDAiLCJQIjoiV2luMzIiLCJBTiI6Ik1haWwiLCJXVCI6Mn0%3D%7C3000%7C%7C%7C&amp;sdata=UcnqZdOLFJjjYB2yAXo59YCegcwNHlY1G2GOSsBW0y8%3D&amp;reserved=0" TargetMode="External"/><Relationship Id="rId2" Type="http://schemas.openxmlformats.org/officeDocument/2006/relationships/customXml" Target="../customXml/item2.xml"/><Relationship Id="rId16" Type="http://schemas.openxmlformats.org/officeDocument/2006/relationships/hyperlink" Target="https://eur01.safelinks.protection.outlook.com/?url=https%3A%2F%2Fwww.gov.uk%2Fgovernment%2Fpublications%2Fpre-16-schools-funding-local-authority-guidance-for-2023-to-2024%2Fschools-operational-guide-2023-to-2024&amp;data=05%7C01%7CJessica.Farmer%40harrow.gov.uk%7Ce7a31e371ea84b9df47908db5dd6a8f0%7Cd2c39953a8db4c3c97f2d2dc76fb3e2c%7C1%7C0%7C638206948752759486%7CUnknown%7CTWFpbGZsb3d8eyJWIjoiMC4wLjAwMDAiLCJQIjoiV2luMzIiLCJBTiI6Ik1haWwiLCJXVCI6Mn0%3D%7C3000%7C%7C%7C&amp;sdata=eQHAyP30vQEpZFbFZapp75uaA27pHHwftkRW8GbYK6I%3D&amp;reserved=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eur01.safelinks.protection.outlook.com/?url=https%3A%2F%2Fwww.gov.uk%2Fgovernment%2Fpublications%2Fpre-16-schools-funding-local-authority-guidance-for-2022-to-2023%2Fschools-operational-guide-2022-to-2023%23movements-between-blocks&amp;data=05%7C01%7CJessica.Farmer%40harrow.gov.uk%7Ce7a31e371ea84b9df47908db5dd6a8f0%7Cd2c39953a8db4c3c97f2d2dc76fb3e2c%7C1%7C0%7C638206948752759486%7CUnknown%7CTWFpbGZsb3d8eyJWIjoiMC4wLjAwMDAiLCJQIjoiV2luMzIiLCJBTiI6Ik1haWwiLCJXVCI6Mn0%3D%7C3000%7C%7C%7C&amp;sdata=7guqep8x8Iv5ljEqwG4Xdzg9S4skNTl0DoBxV0CXOiw%3D&amp;reserved=0"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1.safelinks.protection.outlook.com/?url=https%3A%2F%2Fwww.gov.uk%2Fgovernment%2Fpublications%2Fearly-years-funding-2022-to-2023&amp;data=05%7C01%7CJessica.Farmer%40harrow.gov.uk%7Ce7a31e371ea84b9df47908db5dd6a8f0%7Cd2c39953a8db4c3c97f2d2dc76fb3e2c%7C1%7C0%7C638206948752759486%7CUnknown%7CTWFpbGZsb3d8eyJWIjoiMC4wLjAwMDAiLCJQIjoiV2luMzIiLCJBTiI6Ik1haWwiLCJXVCI6Mn0%3D%7C3000%7C%7C%7C&amp;sdata=7Jj8faGOVEog9D9%2BjZF8MqKzP97EQJI2LCO0dcvKelM%3D&amp;reserve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6" ma:contentTypeDescription="Create a new document." ma:contentTypeScope="" ma:versionID="54dead1c044bf3cf1426d7343f24824f">
  <xsd:schema xmlns:xsd="http://www.w3.org/2001/XMLSchema" xmlns:xs="http://www.w3.org/2001/XMLSchema" xmlns:p="http://schemas.microsoft.com/office/2006/metadata/properties" xmlns:ns2="48fdd5af-7127-4349-9ef8-8ec3aedfe79a" xmlns:ns3="d7bf0660-0b03-4216-b364-8c8e0fe76916" targetNamespace="http://schemas.microsoft.com/office/2006/metadata/properties" ma:root="true" ma:fieldsID="a56b99441329c4257e681e6456b5fefe" ns2:_="" ns3:_="">
    <xsd:import namespace="48fdd5af-7127-4349-9ef8-8ec3aedfe79a"/>
    <xsd:import namespace="d7bf0660-0b03-4216-b364-8c8e0fe769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bf0660-0b03-4216-b364-8c8e0fe76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83E0F-02EA-483E-B1AC-6293E1310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d7bf0660-0b03-4216-b364-8c8e0fe76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0C8C25-97D6-4FB8-B6B0-B617A958C9D4}">
  <ds:schemaRefs>
    <ds:schemaRef ds:uri="http://schemas.microsoft.com/sharepoint/v3/contenttype/forms"/>
  </ds:schemaRefs>
</ds:datastoreItem>
</file>

<file path=customXml/itemProps3.xml><?xml version="1.0" encoding="utf-8"?>
<ds:datastoreItem xmlns:ds="http://schemas.openxmlformats.org/officeDocument/2006/customXml" ds:itemID="{ED12948C-0330-4366-B876-BE5C5A9204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42E87F-0ECA-4DC4-A1EF-506B7E830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4041</Words>
  <Characters>23035</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TEMPLATE TO BE USED FOR KEY DECISION ONLY TO BE TAKEN BY THE LEADER</vt:lpstr>
    </vt:vector>
  </TitlesOfParts>
  <Company>Harrow Council</Company>
  <LinksUpToDate>false</LinksUpToDate>
  <CharactersWithSpaces>27022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TO BE USED FOR KEY DECISION ONLY TO BE TAKEN BY THE LEADER</dc:title>
  <dc:subject/>
  <dc:creator>DGhelani</dc:creator>
  <cp:keywords/>
  <dc:description/>
  <cp:lastModifiedBy>Nikoleta Kemp</cp:lastModifiedBy>
  <cp:revision>5</cp:revision>
  <cp:lastPrinted>2014-11-11T15:12:00Z</cp:lastPrinted>
  <dcterms:created xsi:type="dcterms:W3CDTF">2023-05-30T17:14:00Z</dcterms:created>
  <dcterms:modified xsi:type="dcterms:W3CDTF">2023-05-31T13:28:00Z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ies>
</file>